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EF2" w:rsidRPr="002D6524" w:rsidRDefault="00B21EF2" w:rsidP="00E7458C">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92</w:t>
      </w:r>
      <w:r w:rsidRPr="002D6524">
        <w:rPr>
          <w:rFonts w:cs="Arial"/>
          <w:noProof w:val="0"/>
          <w:sz w:val="24"/>
        </w:rPr>
        <w:tab/>
      </w:r>
      <w:r w:rsidRPr="002D6524">
        <w:rPr>
          <w:rFonts w:cs="Arial"/>
          <w:noProof w:val="0"/>
          <w:sz w:val="24"/>
        </w:rPr>
        <w:tab/>
      </w:r>
      <w:r w:rsidR="00E7458C" w:rsidRPr="00E7458C">
        <w:rPr>
          <w:rFonts w:cs="Arial"/>
          <w:noProof w:val="0"/>
          <w:sz w:val="24"/>
        </w:rPr>
        <w:t>R4-1908253</w:t>
      </w:r>
    </w:p>
    <w:p w:rsidR="00B21EF2" w:rsidRPr="002D6524" w:rsidRDefault="00B21EF2" w:rsidP="00B21EF2">
      <w:pPr>
        <w:pStyle w:val="Header"/>
        <w:rPr>
          <w:noProof w:val="0"/>
          <w:sz w:val="24"/>
          <w:szCs w:val="24"/>
          <w:lang w:eastAsia="zh-CN"/>
        </w:rPr>
      </w:pPr>
      <w:r w:rsidRPr="00FA737E">
        <w:rPr>
          <w:noProof w:val="0"/>
          <w:sz w:val="24"/>
          <w:szCs w:val="24"/>
          <w:lang w:eastAsia="zh-CN"/>
        </w:rPr>
        <w:t>Ljubljana</w:t>
      </w:r>
      <w:r>
        <w:rPr>
          <w:noProof w:val="0"/>
          <w:sz w:val="24"/>
          <w:szCs w:val="24"/>
          <w:lang w:eastAsia="zh-CN"/>
        </w:rPr>
        <w:t>, Slovenia</w:t>
      </w:r>
      <w:r>
        <w:rPr>
          <w:bCs/>
          <w:sz w:val="24"/>
          <w:szCs w:val="24"/>
          <w:lang w:val="en-GB" w:eastAsia="zh-CN"/>
        </w:rPr>
        <w:t xml:space="preserve">, </w:t>
      </w:r>
      <w:r>
        <w:rPr>
          <w:noProof w:val="0"/>
          <w:sz w:val="24"/>
          <w:szCs w:val="24"/>
          <w:lang w:val="en-GB" w:eastAsia="zh-CN"/>
        </w:rPr>
        <w:t>26</w:t>
      </w:r>
      <w:r w:rsidRPr="00091611">
        <w:rPr>
          <w:noProof w:val="0"/>
          <w:sz w:val="24"/>
          <w:szCs w:val="24"/>
          <w:vertAlign w:val="superscript"/>
          <w:lang w:val="en-GB" w:eastAsia="zh-CN"/>
        </w:rPr>
        <w:t>th</w:t>
      </w:r>
      <w:r w:rsidRPr="00091611">
        <w:rPr>
          <w:noProof w:val="0"/>
          <w:sz w:val="24"/>
          <w:szCs w:val="24"/>
          <w:lang w:val="en-GB" w:eastAsia="zh-CN"/>
        </w:rPr>
        <w:t xml:space="preserve"> – </w:t>
      </w:r>
      <w:r>
        <w:rPr>
          <w:noProof w:val="0"/>
          <w:sz w:val="24"/>
          <w:szCs w:val="24"/>
          <w:lang w:val="en-GB" w:eastAsia="zh-CN"/>
        </w:rPr>
        <w:t>30</w:t>
      </w:r>
      <w:r w:rsidRPr="00091611">
        <w:rPr>
          <w:noProof w:val="0"/>
          <w:sz w:val="24"/>
          <w:szCs w:val="24"/>
          <w:vertAlign w:val="superscript"/>
          <w:lang w:val="en-GB" w:eastAsia="zh-CN"/>
        </w:rPr>
        <w:t>th</w:t>
      </w:r>
      <w:r w:rsidRPr="00091611">
        <w:rPr>
          <w:noProof w:val="0"/>
          <w:sz w:val="24"/>
          <w:szCs w:val="24"/>
          <w:lang w:val="en-GB" w:eastAsia="zh-CN"/>
        </w:rPr>
        <w:t xml:space="preserve"> </w:t>
      </w:r>
      <w:r>
        <w:rPr>
          <w:bCs/>
          <w:sz w:val="24"/>
          <w:szCs w:val="24"/>
          <w:lang w:val="en-GB" w:eastAsia="zh-CN"/>
        </w:rPr>
        <w:t>August</w:t>
      </w:r>
      <w:r w:rsidRPr="000F1A2C">
        <w:rPr>
          <w:bCs/>
          <w:sz w:val="24"/>
          <w:szCs w:val="24"/>
          <w:lang w:val="en-GB" w:eastAsia="zh-CN"/>
        </w:rPr>
        <w:t>, 2019</w:t>
      </w:r>
    </w:p>
    <w:p w:rsidR="00BB5022" w:rsidRPr="002D6524" w:rsidRDefault="00BB5022" w:rsidP="00BB5022">
      <w:pPr>
        <w:tabs>
          <w:tab w:val="left" w:pos="1985"/>
        </w:tabs>
        <w:ind w:left="1975" w:hangingChars="823" w:hanging="1975"/>
        <w:jc w:val="both"/>
        <w:rPr>
          <w:rFonts w:ascii="Arial" w:hAnsi="Arial" w:cs="Arial"/>
          <w:sz w:val="24"/>
          <w:highlight w:val="yellow"/>
        </w:rPr>
      </w:pPr>
    </w:p>
    <w:p w:rsidR="00BB5022" w:rsidRPr="002C1654" w:rsidRDefault="00BB5022" w:rsidP="00016F88">
      <w:pPr>
        <w:tabs>
          <w:tab w:val="left" w:pos="1985"/>
        </w:tabs>
        <w:ind w:left="1983" w:hangingChars="823" w:hanging="1983"/>
        <w:jc w:val="both"/>
        <w:rPr>
          <w:rFonts w:ascii="Arial" w:hAnsi="Arial" w:cs="Arial"/>
          <w:b/>
          <w:sz w:val="24"/>
        </w:rPr>
      </w:pPr>
      <w:r w:rsidRPr="002C1654">
        <w:rPr>
          <w:rFonts w:ascii="Arial" w:hAnsi="Arial" w:cs="Arial"/>
          <w:b/>
          <w:sz w:val="24"/>
        </w:rPr>
        <w:t>Agenda item:</w:t>
      </w:r>
      <w:r w:rsidRPr="002C1654">
        <w:rPr>
          <w:rFonts w:ascii="Arial" w:hAnsi="Arial" w:cs="Arial"/>
          <w:b/>
          <w:sz w:val="24"/>
        </w:rPr>
        <w:tab/>
      </w:r>
      <w:bookmarkStart w:id="0" w:name="Source"/>
      <w:bookmarkEnd w:id="0"/>
      <w:r w:rsidR="00016F88" w:rsidRPr="00016F88">
        <w:rPr>
          <w:rFonts w:ascii="Arial" w:hAnsi="Arial" w:cs="Arial"/>
          <w:b/>
          <w:sz w:val="24"/>
        </w:rPr>
        <w:t>7.5.8.2</w:t>
      </w:r>
    </w:p>
    <w:p w:rsidR="00BB5022" w:rsidRPr="002C1654" w:rsidRDefault="00BB5022" w:rsidP="00BB5022">
      <w:pPr>
        <w:tabs>
          <w:tab w:val="left" w:pos="1985"/>
        </w:tabs>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rsidR="00BB5022" w:rsidRPr="002C1654" w:rsidRDefault="00BB5022" w:rsidP="003428C4">
      <w:pPr>
        <w:tabs>
          <w:tab w:val="left" w:pos="1985"/>
        </w:tabs>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428C4">
        <w:rPr>
          <w:rFonts w:ascii="Arial" w:hAnsi="Arial" w:cs="Arial"/>
          <w:b/>
          <w:sz w:val="24"/>
        </w:rPr>
        <w:t>Views on FR2 CA MPR enhancement</w:t>
      </w:r>
    </w:p>
    <w:p w:rsidR="00BB5022" w:rsidRPr="00146B4F" w:rsidRDefault="00BB5022" w:rsidP="00BB5022">
      <w:pPr>
        <w:tabs>
          <w:tab w:val="left" w:pos="1985"/>
        </w:tabs>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Pr="002C1654">
        <w:rPr>
          <w:rFonts w:ascii="Arial" w:hAnsi="Arial" w:cs="Arial"/>
          <w:b/>
          <w:sz w:val="24"/>
        </w:rPr>
        <w:t>Discussion</w:t>
      </w:r>
    </w:p>
    <w:p w:rsidR="00BB5022" w:rsidRPr="00146B4F" w:rsidRDefault="00BB5022" w:rsidP="00BB5022">
      <w:pPr>
        <w:pStyle w:val="Heading1"/>
      </w:pPr>
      <w:r w:rsidRPr="00146B4F">
        <w:t>Introduction</w:t>
      </w:r>
    </w:p>
    <w:p w:rsidR="00BB5022" w:rsidRPr="00895A43" w:rsidRDefault="00BB5022" w:rsidP="00B21EF2">
      <w:pPr>
        <w:overflowPunct w:val="0"/>
        <w:autoSpaceDE w:val="0"/>
        <w:autoSpaceDN w:val="0"/>
        <w:adjustRightInd w:val="0"/>
        <w:spacing w:before="120" w:after="120"/>
        <w:jc w:val="both"/>
        <w:textAlignment w:val="baseline"/>
        <w:rPr>
          <w:rFonts w:ascii="Times New Roman" w:eastAsia="SimSun" w:hAnsi="Times New Roman" w:cs="Times New Roman"/>
          <w:lang w:val="en-GB"/>
        </w:rPr>
      </w:pPr>
      <w:r w:rsidRPr="00895A43">
        <w:rPr>
          <w:rFonts w:ascii="Times New Roman" w:eastAsia="SimSun" w:hAnsi="Times New Roman" w:cs="Times New Roman"/>
          <w:lang w:val="en-GB"/>
        </w:rPr>
        <w:t xml:space="preserve">In RAN4#91, </w:t>
      </w:r>
      <w:hyperlink r:id="rId5" w:history="1">
        <w:r w:rsidR="00274669" w:rsidRPr="00895A43">
          <w:rPr>
            <w:rFonts w:ascii="Times New Roman" w:eastAsia="SimSun" w:hAnsi="Times New Roman" w:cs="Times New Roman"/>
            <w:lang w:val="en-GB"/>
          </w:rPr>
          <w:t>[1]</w:t>
        </w:r>
      </w:hyperlink>
      <w:r w:rsidRPr="00895A43">
        <w:rPr>
          <w:rFonts w:ascii="Times New Roman" w:eastAsia="SimSun" w:hAnsi="Times New Roman" w:cs="Times New Roman"/>
          <w:lang w:val="en-GB"/>
        </w:rPr>
        <w:t xml:space="preserve"> and </w:t>
      </w:r>
      <w:hyperlink r:id="rId6" w:history="1">
        <w:r w:rsidR="00274669" w:rsidRPr="00895A43">
          <w:rPr>
            <w:rFonts w:ascii="Times New Roman" w:eastAsia="SimSun" w:hAnsi="Times New Roman" w:cs="Times New Roman"/>
            <w:lang w:val="en-GB"/>
          </w:rPr>
          <w:t>[2]</w:t>
        </w:r>
      </w:hyperlink>
      <w:r w:rsidRPr="00895A43">
        <w:rPr>
          <w:rFonts w:ascii="Times New Roman" w:eastAsia="SimSun" w:hAnsi="Times New Roman" w:cs="Times New Roman"/>
          <w:lang w:val="en-GB"/>
        </w:rPr>
        <w:t xml:space="preserve"> proposed enhancement for FR2 CA MPR </w:t>
      </w:r>
      <w:r w:rsidR="00A431E1" w:rsidRPr="00895A43">
        <w:rPr>
          <w:rFonts w:ascii="Times New Roman" w:eastAsia="SimSun" w:hAnsi="Times New Roman" w:cs="Times New Roman"/>
          <w:lang w:val="en-GB"/>
        </w:rPr>
        <w:t xml:space="preserve">for contiguous allocation </w:t>
      </w:r>
      <w:r w:rsidRPr="00895A43">
        <w:rPr>
          <w:rFonts w:ascii="Times New Roman" w:eastAsia="SimSun" w:hAnsi="Times New Roman" w:cs="Times New Roman"/>
          <w:lang w:val="en-GB"/>
        </w:rPr>
        <w:t>by including 400MHz aggregated BW case in the first column of the CA MPR table for contiguous allocation (&lt;= instead of &lt;).</w:t>
      </w:r>
    </w:p>
    <w:p w:rsidR="00BB5022" w:rsidRPr="00895A43" w:rsidRDefault="00BB5022" w:rsidP="00B21EF2">
      <w:pPr>
        <w:overflowPunct w:val="0"/>
        <w:autoSpaceDE w:val="0"/>
        <w:autoSpaceDN w:val="0"/>
        <w:adjustRightInd w:val="0"/>
        <w:spacing w:before="120" w:after="120"/>
        <w:jc w:val="both"/>
        <w:textAlignment w:val="baseline"/>
        <w:rPr>
          <w:rFonts w:ascii="Times New Roman" w:eastAsia="SimSun" w:hAnsi="Times New Roman" w:cs="Times New Roman"/>
          <w:lang w:val="en-GB"/>
        </w:rPr>
      </w:pPr>
      <w:r w:rsidRPr="00895A43">
        <w:rPr>
          <w:rFonts w:ascii="Times New Roman" w:eastAsia="SimSun" w:hAnsi="Times New Roman" w:cs="Times New Roman"/>
          <w:lang w:val="en-GB"/>
        </w:rPr>
        <w:t>In this paper, we discuss this proposal and present our views.</w:t>
      </w:r>
    </w:p>
    <w:p w:rsidR="00BB5022" w:rsidRPr="00146B4F" w:rsidRDefault="00BB5022" w:rsidP="00BB5022">
      <w:pPr>
        <w:pStyle w:val="Heading1"/>
      </w:pPr>
      <w:r>
        <w:t>Discussion</w:t>
      </w:r>
    </w:p>
    <w:p w:rsidR="00BB5022" w:rsidRPr="00B21EF2" w:rsidRDefault="00BB5022" w:rsidP="00B21EF2">
      <w:pPr>
        <w:overflowPunct w:val="0"/>
        <w:autoSpaceDE w:val="0"/>
        <w:autoSpaceDN w:val="0"/>
        <w:adjustRightInd w:val="0"/>
        <w:spacing w:before="120" w:after="120"/>
        <w:jc w:val="both"/>
        <w:textAlignment w:val="baseline"/>
        <w:rPr>
          <w:rFonts w:ascii="Times New Roman" w:eastAsia="SimSun" w:hAnsi="Times New Roman" w:cs="Times New Roman"/>
          <w:sz w:val="20"/>
          <w:szCs w:val="20"/>
          <w:lang w:val="en-GB"/>
        </w:rPr>
      </w:pPr>
      <w:r w:rsidRPr="00B21EF2">
        <w:rPr>
          <w:rFonts w:ascii="Times New Roman" w:eastAsia="SimSun" w:hAnsi="Times New Roman" w:cs="Times New Roman"/>
          <w:sz w:val="20"/>
          <w:szCs w:val="20"/>
          <w:lang w:val="en-GB"/>
        </w:rPr>
        <w:t xml:space="preserve">To enhance FR2 CA MPR for contiguous allocation, </w:t>
      </w:r>
      <w:hyperlink r:id="rId7" w:history="1">
        <w:r w:rsidR="00C33D34" w:rsidRPr="00B21EF2">
          <w:rPr>
            <w:rFonts w:ascii="Times New Roman" w:eastAsia="SimSun" w:hAnsi="Times New Roman" w:cs="Times New Roman"/>
            <w:sz w:val="20"/>
            <w:szCs w:val="20"/>
            <w:lang w:val="en-GB"/>
          </w:rPr>
          <w:t>[1]</w:t>
        </w:r>
      </w:hyperlink>
      <w:r w:rsidRPr="00B21EF2">
        <w:rPr>
          <w:rFonts w:ascii="Times New Roman" w:eastAsia="SimSun" w:hAnsi="Times New Roman" w:cs="Times New Roman"/>
          <w:sz w:val="20"/>
          <w:szCs w:val="20"/>
          <w:lang w:val="en-GB"/>
        </w:rPr>
        <w:t xml:space="preserve"> and </w:t>
      </w:r>
      <w:hyperlink r:id="rId8" w:history="1">
        <w:r w:rsidR="00C33D34" w:rsidRPr="00B21EF2">
          <w:rPr>
            <w:rFonts w:ascii="Times New Roman" w:eastAsia="SimSun" w:hAnsi="Times New Roman" w:cs="Times New Roman"/>
            <w:sz w:val="20"/>
            <w:szCs w:val="20"/>
            <w:lang w:val="en-GB"/>
          </w:rPr>
          <w:t>[2]</w:t>
        </w:r>
      </w:hyperlink>
      <w:r w:rsidRPr="00B21EF2">
        <w:rPr>
          <w:rFonts w:ascii="Times New Roman" w:eastAsia="SimSun" w:hAnsi="Times New Roman" w:cs="Times New Roman"/>
          <w:sz w:val="20"/>
          <w:szCs w:val="20"/>
          <w:lang w:val="en-GB"/>
        </w:rPr>
        <w:t xml:space="preserve"> proposed to include 400MHz aggregated BW case in the first column of the CA MPR table (&lt;= instead of &lt;). The motivation was that some operators are keen to maximize system performance for spectrum up to 400MHz wide. The justification was the expectation that MPR for contiguous CA allocations will track MPR of single CC OFDM waveforms.</w:t>
      </w:r>
    </w:p>
    <w:p w:rsidR="00BB5022" w:rsidRPr="00B21EF2" w:rsidRDefault="009F33B2" w:rsidP="00B21EF2">
      <w:pPr>
        <w:overflowPunct w:val="0"/>
        <w:autoSpaceDE w:val="0"/>
        <w:autoSpaceDN w:val="0"/>
        <w:adjustRightInd w:val="0"/>
        <w:spacing w:before="120" w:after="120"/>
        <w:jc w:val="both"/>
        <w:textAlignment w:val="baseline"/>
        <w:rPr>
          <w:rFonts w:asciiTheme="majorBidi" w:eastAsia="SimSun" w:hAnsiTheme="majorBidi" w:cstheme="majorBidi"/>
          <w:sz w:val="20"/>
          <w:szCs w:val="20"/>
          <w:lang w:val="en-GB"/>
        </w:rPr>
      </w:pPr>
      <w:r>
        <w:rPr>
          <w:rFonts w:asciiTheme="majorBidi" w:eastAsia="SimSun" w:hAnsiTheme="majorBidi" w:cstheme="majorBidi"/>
          <w:sz w:val="20"/>
          <w:szCs w:val="20"/>
          <w:lang w:val="en-GB"/>
        </w:rPr>
        <w:t>In RAN4#91</w:t>
      </w:r>
      <w:r w:rsidR="00BB5022" w:rsidRPr="00B21EF2">
        <w:rPr>
          <w:rFonts w:asciiTheme="majorBidi" w:eastAsia="SimSun" w:hAnsiTheme="majorBidi" w:cstheme="majorBidi"/>
          <w:sz w:val="20"/>
          <w:szCs w:val="20"/>
          <w:lang w:val="en-GB"/>
        </w:rPr>
        <w:t>, we raised the following two concerns:</w:t>
      </w:r>
    </w:p>
    <w:p w:rsidR="00BB5022" w:rsidRPr="00B21EF2" w:rsidRDefault="00BB5022" w:rsidP="005A143D">
      <w:pPr>
        <w:numPr>
          <w:ilvl w:val="0"/>
          <w:numId w:val="2"/>
        </w:numPr>
        <w:overflowPunct w:val="0"/>
        <w:autoSpaceDE w:val="0"/>
        <w:autoSpaceDN w:val="0"/>
        <w:adjustRightInd w:val="0"/>
        <w:spacing w:before="120"/>
        <w:jc w:val="both"/>
        <w:textAlignment w:val="baseline"/>
        <w:rPr>
          <w:rFonts w:asciiTheme="majorBidi" w:hAnsiTheme="majorBidi" w:cstheme="majorBidi"/>
        </w:rPr>
      </w:pPr>
      <w:r w:rsidRPr="00B21EF2">
        <w:rPr>
          <w:rFonts w:asciiTheme="majorBidi" w:hAnsiTheme="majorBidi" w:cstheme="majorBidi"/>
        </w:rPr>
        <w:t>PAPR of 4x100MHz could be larger than PAPR of 1x400MHz, and therefore larger MPR could be needed for CA with 400MHz aggregated BW.</w:t>
      </w:r>
    </w:p>
    <w:p w:rsidR="00BB5022" w:rsidRPr="00B21EF2" w:rsidRDefault="00BB5022" w:rsidP="005A143D">
      <w:pPr>
        <w:numPr>
          <w:ilvl w:val="0"/>
          <w:numId w:val="2"/>
        </w:numPr>
        <w:overflowPunct w:val="0"/>
        <w:autoSpaceDE w:val="0"/>
        <w:autoSpaceDN w:val="0"/>
        <w:adjustRightInd w:val="0"/>
        <w:spacing w:after="120"/>
        <w:jc w:val="both"/>
        <w:textAlignment w:val="baseline"/>
        <w:rPr>
          <w:rFonts w:asciiTheme="majorBidi" w:hAnsiTheme="majorBidi" w:cstheme="majorBidi"/>
        </w:rPr>
      </w:pPr>
      <w:r w:rsidRPr="00B21EF2">
        <w:rPr>
          <w:rFonts w:asciiTheme="majorBidi" w:hAnsiTheme="majorBidi" w:cstheme="majorBidi"/>
        </w:rPr>
        <w:t>From emission prospective, the requirement for 4x100MHz CP-OFDM is more stringent. For 4x100MHz, the edge of the signal is at 197.5 MHz from the center, compared to the signal edge for 1x400MHz, which is at 190MHz.</w:t>
      </w:r>
    </w:p>
    <w:p w:rsidR="00BB5022" w:rsidRPr="00B21EF2" w:rsidRDefault="00BB5022" w:rsidP="00A92A15">
      <w:pPr>
        <w:jc w:val="both"/>
        <w:rPr>
          <w:rFonts w:asciiTheme="majorBidi" w:hAnsiTheme="majorBidi" w:cstheme="majorBidi"/>
        </w:rPr>
      </w:pPr>
      <w:r w:rsidRPr="00B21EF2">
        <w:rPr>
          <w:rFonts w:asciiTheme="majorBidi" w:hAnsiTheme="majorBidi" w:cstheme="majorBidi"/>
        </w:rPr>
        <w:t xml:space="preserve">Based on our analysis, we observe that EVM is the dominant factor for </w:t>
      </w:r>
      <w:r w:rsidR="00234397" w:rsidRPr="00B21EF2">
        <w:rPr>
          <w:rFonts w:asciiTheme="majorBidi" w:hAnsiTheme="majorBidi" w:cstheme="majorBidi"/>
        </w:rPr>
        <w:t xml:space="preserve">CA </w:t>
      </w:r>
      <w:r w:rsidRPr="00B21EF2">
        <w:rPr>
          <w:rFonts w:asciiTheme="majorBidi" w:hAnsiTheme="majorBidi" w:cstheme="majorBidi"/>
        </w:rPr>
        <w:t>MPR</w:t>
      </w:r>
      <w:r w:rsidR="00234397" w:rsidRPr="00B21EF2">
        <w:rPr>
          <w:rFonts w:asciiTheme="majorBidi" w:hAnsiTheme="majorBidi" w:cstheme="majorBidi"/>
        </w:rPr>
        <w:t xml:space="preserve"> contiguous allocation</w:t>
      </w:r>
      <w:r w:rsidRPr="00B21EF2">
        <w:rPr>
          <w:rFonts w:asciiTheme="majorBidi" w:hAnsiTheme="majorBidi" w:cstheme="majorBidi"/>
        </w:rPr>
        <w:t xml:space="preserve">. Therefore, we will focus on the </w:t>
      </w:r>
      <w:r w:rsidR="00A92A15" w:rsidRPr="00B21EF2">
        <w:rPr>
          <w:rFonts w:asciiTheme="majorBidi" w:hAnsiTheme="majorBidi" w:cstheme="majorBidi"/>
        </w:rPr>
        <w:t>PAPR concern</w:t>
      </w:r>
      <w:r w:rsidRPr="00B21EF2">
        <w:rPr>
          <w:rFonts w:asciiTheme="majorBidi" w:hAnsiTheme="majorBidi" w:cstheme="majorBidi"/>
        </w:rPr>
        <w:t>.</w:t>
      </w:r>
    </w:p>
    <w:p w:rsidR="00BB5022" w:rsidRPr="00B21EF2" w:rsidRDefault="00BB5022" w:rsidP="005A143D">
      <w:pPr>
        <w:jc w:val="both"/>
        <w:rPr>
          <w:rFonts w:asciiTheme="majorBidi" w:hAnsiTheme="majorBidi" w:cstheme="majorBidi"/>
        </w:rPr>
      </w:pPr>
    </w:p>
    <w:p w:rsidR="00BB5022" w:rsidRPr="00B21EF2" w:rsidRDefault="00BB5022" w:rsidP="009B00D2">
      <w:pPr>
        <w:jc w:val="both"/>
        <w:rPr>
          <w:rFonts w:asciiTheme="majorBidi" w:hAnsiTheme="majorBidi" w:cstheme="majorBidi"/>
        </w:rPr>
      </w:pPr>
      <w:r w:rsidRPr="00B21EF2">
        <w:rPr>
          <w:rFonts w:asciiTheme="majorBidi" w:hAnsiTheme="majorBidi" w:cstheme="majorBidi"/>
        </w:rPr>
        <w:t xml:space="preserve">One of the main factors that affect PAPR of CA signal is he DMRS sequences </w:t>
      </w:r>
      <w:r w:rsidR="009B00D2">
        <w:rPr>
          <w:rFonts w:asciiTheme="majorBidi" w:hAnsiTheme="majorBidi" w:cstheme="majorBidi"/>
        </w:rPr>
        <w:t>used in</w:t>
      </w:r>
      <w:r w:rsidRPr="00B21EF2">
        <w:rPr>
          <w:rFonts w:asciiTheme="majorBidi" w:hAnsiTheme="majorBidi" w:cstheme="majorBidi"/>
        </w:rPr>
        <w:t xml:space="preserve"> CCs. The following contents are copied from TS 38.211 to show the generation of DMRS for DFT-s-OFDM and CP-OFDM waveforms:</w:t>
      </w:r>
    </w:p>
    <w:p w:rsidR="00BB5022" w:rsidRDefault="00BB5022" w:rsidP="00BB5022"/>
    <w:tbl>
      <w:tblPr>
        <w:tblStyle w:val="TableGrid"/>
        <w:tblW w:w="9540" w:type="dxa"/>
        <w:tblInd w:w="-5" w:type="dxa"/>
        <w:tblLook w:val="04A0" w:firstRow="1" w:lastRow="0" w:firstColumn="1" w:lastColumn="0" w:noHBand="0" w:noVBand="1"/>
      </w:tblPr>
      <w:tblGrid>
        <w:gridCol w:w="9540"/>
      </w:tblGrid>
      <w:tr w:rsidR="00BB5022" w:rsidTr="00BB5022">
        <w:tc>
          <w:tcPr>
            <w:tcW w:w="9540" w:type="dxa"/>
          </w:tcPr>
          <w:p w:rsidR="00BB5022" w:rsidRDefault="00BB5022" w:rsidP="00BB5022">
            <w:pPr>
              <w:pStyle w:val="H6"/>
            </w:pPr>
            <w:r>
              <w:lastRenderedPageBreak/>
              <w:t>6.4.1.1.1.2                 Sequence generation when transform precoding is enabled</w:t>
            </w:r>
          </w:p>
          <w:p w:rsidR="00BB5022" w:rsidRDefault="00BB5022" w:rsidP="00BB5022">
            <w:r>
              <w:t xml:space="preserve">If transform precoding for PUSCH is enabled, the reference-signal sequence </w:t>
            </w:r>
            <w:r>
              <w:rPr>
                <w:rFonts w:ascii="Times New Roman" w:hAnsi="Times New Roman" w:cs="Times New Roman"/>
                <w:noProof/>
                <w:position w:val="-10"/>
                <w:sz w:val="20"/>
                <w:szCs w:val="20"/>
              </w:rPr>
              <w:drawing>
                <wp:inline distT="0" distB="0" distL="0" distR="0" wp14:anchorId="231A411C" wp14:editId="414088F1">
                  <wp:extent cx="269875" cy="193675"/>
                  <wp:effectExtent l="0" t="0" r="0" b="0"/>
                  <wp:docPr id="6" name="Picture 6" descr="cid:image051.png@01D52AA9.E603B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51.png@01D52AA9.E603B56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69875" cy="193675"/>
                          </a:xfrm>
                          <a:prstGeom prst="rect">
                            <a:avLst/>
                          </a:prstGeom>
                          <a:noFill/>
                          <a:ln>
                            <a:noFill/>
                          </a:ln>
                        </pic:spPr>
                      </pic:pic>
                    </a:graphicData>
                  </a:graphic>
                </wp:inline>
              </w:drawing>
            </w:r>
            <w:r>
              <w:t> shall be generated according to</w:t>
            </w:r>
          </w:p>
          <w:p w:rsidR="00BB5022" w:rsidRDefault="00BB5022" w:rsidP="00BB5022">
            <w:pPr>
              <w:pStyle w:val="EQ"/>
            </w:pPr>
            <w:r>
              <w:rPr>
                <w:noProof/>
                <w:position w:val="-30"/>
              </w:rPr>
              <w:drawing>
                <wp:inline distT="0" distB="0" distL="0" distR="0" wp14:anchorId="63D2611C" wp14:editId="18E46E07">
                  <wp:extent cx="1471295" cy="439420"/>
                  <wp:effectExtent l="0" t="0" r="0" b="0"/>
                  <wp:docPr id="5" name="Picture 5" descr="cid:image052.png@01D52AA9.E603B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52.png@01D52AA9.E603B56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471295" cy="439420"/>
                          </a:xfrm>
                          <a:prstGeom prst="rect">
                            <a:avLst/>
                          </a:prstGeom>
                          <a:noFill/>
                          <a:ln>
                            <a:noFill/>
                          </a:ln>
                        </pic:spPr>
                      </pic:pic>
                    </a:graphicData>
                  </a:graphic>
                </wp:inline>
              </w:drawing>
            </w:r>
          </w:p>
          <w:p w:rsidR="00BB5022" w:rsidRDefault="00BB5022" w:rsidP="00BB5022">
            <w:proofErr w:type="gramStart"/>
            <w:r>
              <w:t>where</w:t>
            </w:r>
            <w:proofErr w:type="gramEnd"/>
            <w:r>
              <w:t xml:space="preserve"> </w:t>
            </w:r>
            <m:oMath>
              <m:sSubSup>
                <m:sSubSupPr>
                  <m:ctrlPr>
                    <w:rPr>
                      <w:rFonts w:ascii="Cambria Math" w:hAnsi="Cambria Math"/>
                      <w:i/>
                      <w:iCs/>
                    </w:rPr>
                  </m:ctrlPr>
                </m:sSubSupPr>
                <m:e>
                  <m:r>
                    <w:rPr>
                      <w:rFonts w:ascii="Cambria Math" w:hAnsi="Cambria Math"/>
                    </w:rPr>
                    <m:t>r</m:t>
                  </m:r>
                </m:e>
                <m:sub>
                  <m:r>
                    <w:rPr>
                      <w:rFonts w:ascii="Cambria Math" w:hAnsi="Cambria Math"/>
                    </w:rPr>
                    <m:t>u,v</m:t>
                  </m:r>
                </m:sub>
                <m:sup>
                  <m:d>
                    <m:dPr>
                      <m:ctrlPr>
                        <w:rPr>
                          <w:rFonts w:ascii="Cambria Math" w:hAnsi="Cambria Math"/>
                          <w:i/>
                          <w:iCs/>
                        </w:rPr>
                      </m:ctrlPr>
                    </m:dPr>
                    <m:e>
                      <m:r>
                        <w:rPr>
                          <w:rFonts w:ascii="Cambria Math" w:hAnsi="Cambria Math"/>
                        </w:rPr>
                        <m:t>α,δ</m:t>
                      </m:r>
                    </m:e>
                  </m:d>
                </m:sup>
              </m:sSubSup>
              <m:r>
                <w:rPr>
                  <w:rFonts w:ascii="Cambria Math" w:hAnsi="Cambria Math"/>
                </w:rPr>
                <m:t>(m)</m:t>
              </m:r>
            </m:oMath>
            <w:r>
              <w:t xml:space="preserve"> is given by clause 5.2.2 with </w:t>
            </w:r>
            <w:r>
              <w:rPr>
                <w:rFonts w:ascii="Times New Roman" w:hAnsi="Times New Roman" w:cs="Times New Roman"/>
                <w:noProof/>
                <w:position w:val="-6"/>
                <w:sz w:val="20"/>
                <w:szCs w:val="20"/>
              </w:rPr>
              <w:drawing>
                <wp:inline distT="0" distB="0" distL="0" distR="0" wp14:anchorId="0E5DC9E1" wp14:editId="3F166D38">
                  <wp:extent cx="299085" cy="152400"/>
                  <wp:effectExtent l="0" t="0" r="5715" b="0"/>
                  <wp:docPr id="4" name="Picture 4" descr="cid:image054.png@01D52AA9.E603B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54.png@01D52AA9.E603B56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99085" cy="152400"/>
                          </a:xfrm>
                          <a:prstGeom prst="rect">
                            <a:avLst/>
                          </a:prstGeom>
                          <a:noFill/>
                          <a:ln>
                            <a:noFill/>
                          </a:ln>
                        </pic:spPr>
                      </pic:pic>
                    </a:graphicData>
                  </a:graphic>
                </wp:inline>
              </w:drawing>
            </w:r>
            <w:r>
              <w:t xml:space="preserve"> and </w:t>
            </w:r>
            <w:r>
              <w:rPr>
                <w:rFonts w:ascii="Times New Roman" w:hAnsi="Times New Roman" w:cs="Times New Roman"/>
                <w:noProof/>
                <w:position w:val="-6"/>
                <w:sz w:val="20"/>
                <w:szCs w:val="20"/>
              </w:rPr>
              <w:drawing>
                <wp:inline distT="0" distB="0" distL="0" distR="0" wp14:anchorId="5A68C4D3" wp14:editId="0053B76F">
                  <wp:extent cx="334010" cy="152400"/>
                  <wp:effectExtent l="0" t="0" r="8890" b="0"/>
                  <wp:docPr id="3" name="Picture 3" descr="cid:image055.png@01D52AA9.E603B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55.png@01D52AA9.E603B56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34010" cy="152400"/>
                          </a:xfrm>
                          <a:prstGeom prst="rect">
                            <a:avLst/>
                          </a:prstGeom>
                          <a:noFill/>
                          <a:ln>
                            <a:noFill/>
                          </a:ln>
                        </pic:spPr>
                      </pic:pic>
                    </a:graphicData>
                  </a:graphic>
                </wp:inline>
              </w:drawing>
            </w:r>
            <w:r>
              <w:t> for a PUSCH transmission.</w:t>
            </w:r>
          </w:p>
          <w:p w:rsidR="00BB5022" w:rsidRDefault="00BB5022" w:rsidP="00BB5022">
            <w:r>
              <w:t xml:space="preserve">The sequence group </w:t>
            </w:r>
            <w:r>
              <w:rPr>
                <w:noProof/>
                <w:position w:val="-14"/>
              </w:rPr>
              <w:drawing>
                <wp:inline distT="0" distB="0" distL="0" distR="0" wp14:anchorId="26B0DC91" wp14:editId="6A0A65D7">
                  <wp:extent cx="1189990" cy="234315"/>
                  <wp:effectExtent l="0" t="0" r="0" b="0"/>
                  <wp:docPr id="2" name="Picture 2" descr="cid:image056.png@01D52AA9.E603B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56.png@01D52AA9.E603B56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189990" cy="234315"/>
                          </a:xfrm>
                          <a:prstGeom prst="rect">
                            <a:avLst/>
                          </a:prstGeom>
                          <a:noFill/>
                          <a:ln>
                            <a:noFill/>
                          </a:ln>
                        </pic:spPr>
                      </pic:pic>
                    </a:graphicData>
                  </a:graphic>
                </wp:inline>
              </w:drawing>
            </w:r>
            <w:r>
              <w:t xml:space="preserve">, where </w:t>
            </w:r>
            <w:r>
              <w:rPr>
                <w:noProof/>
                <w:position w:val="-10"/>
              </w:rPr>
              <w:drawing>
                <wp:inline distT="0" distB="0" distL="0" distR="0" wp14:anchorId="2BF1D60E" wp14:editId="77AD8E9B">
                  <wp:extent cx="234315" cy="222885"/>
                  <wp:effectExtent l="0" t="0" r="0" b="5715"/>
                  <wp:docPr id="1" name="Picture 1" descr="cid:image057.png@01D52AA9.E603B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57.png@01D52AA9.E603B56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34315" cy="222885"/>
                          </a:xfrm>
                          <a:prstGeom prst="rect">
                            <a:avLst/>
                          </a:prstGeom>
                          <a:noFill/>
                          <a:ln>
                            <a:noFill/>
                          </a:ln>
                        </pic:spPr>
                      </pic:pic>
                    </a:graphicData>
                  </a:graphic>
                </wp:inline>
              </w:drawing>
            </w:r>
            <w:r>
              <w:t> is given by</w:t>
            </w:r>
          </w:p>
          <w:p w:rsidR="00BB5022" w:rsidRPr="00D70751" w:rsidRDefault="00BB5022" w:rsidP="00BB5022">
            <w:pPr>
              <w:pStyle w:val="B10"/>
            </w:pPr>
            <w:r w:rsidRPr="00D70751">
              <w:t xml:space="preserve">-    </w:t>
            </w:r>
            <m:oMath>
              <m:sSubSup>
                <m:sSubSupPr>
                  <m:ctrlPr>
                    <w:rPr>
                      <w:rFonts w:ascii="Cambria Math" w:hAnsi="Cambria Math" w:cs="Calibri"/>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cs="Calibri"/>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D70751">
              <w:t xml:space="preserve"> if </w:t>
            </w:r>
            <m:oMath>
              <m:sSubSup>
                <m:sSubSupPr>
                  <m:ctrlPr>
                    <w:rPr>
                      <w:rFonts w:ascii="Cambria Math" w:hAnsi="Cambria Math" w:cs="Calibri"/>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D70751">
              <w:t xml:space="preserve"> is configured by the higher-layer parameter </w:t>
            </w:r>
            <w:proofErr w:type="spellStart"/>
            <w:r w:rsidRPr="00D70751">
              <w:rPr>
                <w:i/>
                <w:iCs/>
              </w:rPr>
              <w:t>nPUSCH</w:t>
            </w:r>
            <w:proofErr w:type="spellEnd"/>
            <w:r w:rsidRPr="00D70751">
              <w:rPr>
                <w:i/>
                <w:iCs/>
              </w:rPr>
              <w:t xml:space="preserve">-Identity </w:t>
            </w:r>
            <w:r w:rsidRPr="00D70751">
              <w:t xml:space="preserve">in the </w:t>
            </w:r>
            <w:r w:rsidRPr="00D70751">
              <w:rPr>
                <w:i/>
                <w:iCs/>
              </w:rPr>
              <w:t>DMRS-</w:t>
            </w:r>
            <w:proofErr w:type="spellStart"/>
            <w:r w:rsidRPr="00D70751">
              <w:rPr>
                <w:i/>
                <w:iCs/>
              </w:rPr>
              <w:t>UplinkConfig</w:t>
            </w:r>
            <w:proofErr w:type="spellEnd"/>
            <w:r w:rsidRPr="00D70751">
              <w:rPr>
                <w:i/>
                <w:iCs/>
              </w:rPr>
              <w:t xml:space="preserve"> </w:t>
            </w:r>
            <w:r w:rsidRPr="00D70751">
              <w:t xml:space="preserve">IE and the PUSCH is not </w:t>
            </w:r>
            <w:proofErr w:type="gramStart"/>
            <w:r w:rsidRPr="00D70751">
              <w:t>a</w:t>
            </w:r>
            <w:proofErr w:type="gramEnd"/>
            <w:r w:rsidRPr="00D70751">
              <w:t xml:space="preserve"> msg3 PUSCH according to clause 8.3 in [5, TS 38.213].</w:t>
            </w:r>
          </w:p>
          <w:p w:rsidR="00BB5022" w:rsidRDefault="00BB5022" w:rsidP="00BB5022">
            <w:pPr>
              <w:pStyle w:val="B10"/>
            </w:pPr>
            <w:r w:rsidRPr="00D70751">
              <w:t xml:space="preserve">-    </w:t>
            </w:r>
            <m:oMath>
              <m:sSubSup>
                <m:sSubSupPr>
                  <m:ctrlPr>
                    <w:rPr>
                      <w:rFonts w:ascii="Cambria Math" w:hAnsi="Cambria Math" w:cs="Calibri"/>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cs="Calibri"/>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D70751">
              <w:t xml:space="preserve"> otherwise</w:t>
            </w:r>
          </w:p>
        </w:tc>
      </w:tr>
    </w:tbl>
    <w:p w:rsidR="00BB5022" w:rsidRDefault="00BB5022" w:rsidP="00D70751">
      <w:pPr>
        <w:pStyle w:val="H6"/>
      </w:pPr>
    </w:p>
    <w:tbl>
      <w:tblPr>
        <w:tblStyle w:val="TableGrid"/>
        <w:tblW w:w="9540" w:type="dxa"/>
        <w:tblInd w:w="-5" w:type="dxa"/>
        <w:tblLook w:val="04A0" w:firstRow="1" w:lastRow="0" w:firstColumn="1" w:lastColumn="0" w:noHBand="0" w:noVBand="1"/>
      </w:tblPr>
      <w:tblGrid>
        <w:gridCol w:w="9540"/>
      </w:tblGrid>
      <w:tr w:rsidR="00BB5022" w:rsidTr="000C2F23">
        <w:tc>
          <w:tcPr>
            <w:tcW w:w="9540" w:type="dxa"/>
          </w:tcPr>
          <w:p w:rsidR="00BB5022" w:rsidRDefault="00BB5022" w:rsidP="00BB5022">
            <w:pPr>
              <w:pStyle w:val="H6"/>
            </w:pPr>
            <w:r>
              <w:t>6.4.1.1.1.1                 Sequence generation when transform precoding is disabled</w:t>
            </w:r>
          </w:p>
          <w:p w:rsidR="00BB5022" w:rsidRDefault="00BB5022" w:rsidP="00BB5022">
            <w:r>
              <w:t xml:space="preserve">If transform precoding for PUSCH is not enabled, the sequence </w:t>
            </w:r>
            <w:r>
              <w:rPr>
                <w:rFonts w:ascii="Times New Roman" w:hAnsi="Times New Roman" w:cs="Times New Roman"/>
                <w:noProof/>
                <w:position w:val="-10"/>
                <w:sz w:val="20"/>
                <w:szCs w:val="20"/>
              </w:rPr>
              <w:drawing>
                <wp:inline distT="0" distB="0" distL="0" distR="0" wp14:anchorId="46F96576" wp14:editId="68B64CE3">
                  <wp:extent cx="275590" cy="1816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shall be generated according to</w:t>
            </w:r>
          </w:p>
          <w:p w:rsidR="00BB5022" w:rsidRDefault="00BB5022" w:rsidP="00BB5022">
            <w:pPr>
              <w:pStyle w:val="EQ"/>
              <w:jc w:val="center"/>
            </w:pPr>
            <w:r>
              <w:rPr>
                <w:noProof/>
                <w:position w:val="-24"/>
              </w:rPr>
              <w:drawing>
                <wp:inline distT="0" distB="0" distL="0" distR="0" wp14:anchorId="34B08552" wp14:editId="72F760FE">
                  <wp:extent cx="2467610" cy="357505"/>
                  <wp:effectExtent l="0" t="0" r="889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67610" cy="357505"/>
                          </a:xfrm>
                          <a:prstGeom prst="rect">
                            <a:avLst/>
                          </a:prstGeom>
                          <a:noFill/>
                          <a:ln>
                            <a:noFill/>
                          </a:ln>
                        </pic:spPr>
                      </pic:pic>
                    </a:graphicData>
                  </a:graphic>
                </wp:inline>
              </w:drawing>
            </w:r>
            <w:r>
              <w:t>.</w:t>
            </w:r>
          </w:p>
          <w:p w:rsidR="00BB5022" w:rsidRDefault="00BB5022" w:rsidP="00BB5022">
            <w:proofErr w:type="gramStart"/>
            <w:r>
              <w:t>where</w:t>
            </w:r>
            <w:proofErr w:type="gramEnd"/>
            <w:r>
              <w:t xml:space="preserve"> the pseudo-random sequence </w:t>
            </w:r>
            <w:r>
              <w:rPr>
                <w:rFonts w:ascii="Times New Roman" w:hAnsi="Times New Roman" w:cs="Times New Roman"/>
                <w:noProof/>
                <w:position w:val="-10"/>
                <w:sz w:val="20"/>
                <w:szCs w:val="20"/>
              </w:rPr>
              <w:drawing>
                <wp:inline distT="0" distB="0" distL="0" distR="0" wp14:anchorId="1750F80C" wp14:editId="18489CEF">
                  <wp:extent cx="275590" cy="1816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is defined in clause 5.2.1. The pseudo-random sequence generator shall be initialized with</w:t>
            </w:r>
          </w:p>
          <w:p w:rsidR="00BB5022" w:rsidRDefault="00BB5022" w:rsidP="00BB5022">
            <w:pPr>
              <w:pStyle w:val="EQ"/>
              <w:jc w:val="center"/>
            </w:pPr>
            <w:r>
              <w:rPr>
                <w:noProof/>
                <w:position w:val="-16"/>
              </w:rPr>
              <w:drawing>
                <wp:inline distT="0" distB="0" distL="0" distR="0" wp14:anchorId="34B9359F" wp14:editId="404AE276">
                  <wp:extent cx="3300095" cy="2755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00095" cy="275590"/>
                          </a:xfrm>
                          <a:prstGeom prst="rect">
                            <a:avLst/>
                          </a:prstGeom>
                          <a:noFill/>
                          <a:ln>
                            <a:noFill/>
                          </a:ln>
                        </pic:spPr>
                      </pic:pic>
                    </a:graphicData>
                  </a:graphic>
                </wp:inline>
              </w:drawing>
            </w:r>
          </w:p>
          <w:p w:rsidR="00BB5022" w:rsidRDefault="00BB5022" w:rsidP="00BB5022">
            <w:r>
              <w:t xml:space="preserve">where </w:t>
            </w:r>
            <w:r>
              <w:rPr>
                <w:rFonts w:ascii="Times New Roman" w:hAnsi="Times New Roman" w:cs="Times New Roman"/>
                <w:noProof/>
                <w:position w:val="-6"/>
                <w:sz w:val="20"/>
                <w:szCs w:val="20"/>
              </w:rPr>
              <w:drawing>
                <wp:inline distT="0" distB="0" distL="0" distR="0" wp14:anchorId="13DEB092" wp14:editId="61289380">
                  <wp:extent cx="99695" cy="1816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t xml:space="preserve"> is the OFDM symbol number within the slot, </w:t>
            </w:r>
            <m:oMath>
              <m:sSubSup>
                <m:sSubSupPr>
                  <m:ctrlPr>
                    <w:rPr>
                      <w:rFonts w:ascii="Cambria Math" w:hAnsi="Cambria Math"/>
                      <w:i/>
                      <w:iCs/>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rsidR="00BB5022" w:rsidRDefault="00BB5022" w:rsidP="00BB5022">
            <w:pPr>
              <w:pStyle w:val="B10"/>
            </w:pPr>
            <w:r>
              <w:t xml:space="preserve">-     </w:t>
            </w:r>
            <m:oMath>
              <m:sSubSup>
                <m:sSubSupPr>
                  <m:ctrlPr>
                    <w:rPr>
                      <w:rFonts w:ascii="Cambria Math" w:hAnsi="Cambria Math" w:cs="Calibri"/>
                      <w:i/>
                      <w:iCs/>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cs="Calibri"/>
                      <w:i/>
                      <w:iCs/>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cs="Calibri"/>
                      <w:i/>
                      <w:iCs/>
                    </w:rPr>
                  </m:ctrlPr>
                </m:dPr>
                <m:e>
                  <m:r>
                    <w:rPr>
                      <w:rFonts w:ascii="Cambria Math" w:hAnsi="Cambria Math"/>
                    </w:rPr>
                    <m:t>0,1,…,65535</m:t>
                  </m:r>
                </m:e>
              </m:d>
            </m:oMath>
            <w:r>
              <w:t xml:space="preserve"> are given by the higher-layer parameters </w:t>
            </w:r>
            <w:r>
              <w:rPr>
                <w:i/>
                <w:iCs/>
              </w:rPr>
              <w:t>scramblingID0</w:t>
            </w:r>
            <w:r>
              <w:t xml:space="preserve"> and </w:t>
            </w:r>
            <w:r>
              <w:rPr>
                <w:i/>
                <w:iCs/>
              </w:rPr>
              <w:t>scramblingID1</w:t>
            </w:r>
            <w:r>
              <w:t xml:space="preserve">, respectively, in the </w:t>
            </w:r>
            <w:r>
              <w:rPr>
                <w:i/>
                <w:iCs/>
              </w:rPr>
              <w:t>DMRS-</w:t>
            </w:r>
            <w:proofErr w:type="spellStart"/>
            <w:r>
              <w:rPr>
                <w:i/>
                <w:iCs/>
              </w:rPr>
              <w:t>UplinkConfig</w:t>
            </w:r>
            <w:proofErr w:type="spellEnd"/>
            <w:r>
              <w:rPr>
                <w:i/>
                <w:iCs/>
              </w:rPr>
              <w:t xml:space="preserve"> </w:t>
            </w:r>
            <w:r>
              <w:t>IE if provided and the PUSCH is scheduled by DCI format 0_1 or by a PUSCH transmission with a configured grant;</w:t>
            </w:r>
            <w:r>
              <w:rPr>
                <w:b/>
                <w:bCs/>
              </w:rPr>
              <w:t xml:space="preserve"> </w:t>
            </w:r>
          </w:p>
          <w:p w:rsidR="00BB5022" w:rsidRDefault="00BB5022" w:rsidP="00BB5022">
            <w:pPr>
              <w:pStyle w:val="B10"/>
            </w:pPr>
            <w:r>
              <w:t xml:space="preserve">-     </w:t>
            </w:r>
            <m:oMath>
              <m:sSubSup>
                <m:sSubSupPr>
                  <m:ctrlPr>
                    <w:rPr>
                      <w:rFonts w:ascii="Cambria Math" w:hAnsi="Cambria Math" w:cs="Calibri"/>
                      <w:i/>
                      <w:iCs/>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cs="Calibri"/>
                      <w:i/>
                      <w:iCs/>
                    </w:rPr>
                  </m:ctrlPr>
                </m:dPr>
                <m:e>
                  <m:r>
                    <w:rPr>
                      <w:rFonts w:ascii="Cambria Math" w:hAnsi="Cambria Math"/>
                    </w:rPr>
                    <m:t>0,1,…,65535</m:t>
                  </m:r>
                </m:e>
              </m:d>
            </m:oMath>
            <w:r>
              <w:t xml:space="preserve"> is given by the higher-layer parameter </w:t>
            </w:r>
            <w:r>
              <w:rPr>
                <w:i/>
                <w:iCs/>
              </w:rPr>
              <w:t>scramblingID0</w:t>
            </w:r>
            <w:r>
              <w:t xml:space="preserve"> in the </w:t>
            </w:r>
            <w:r>
              <w:rPr>
                <w:i/>
                <w:iCs/>
              </w:rPr>
              <w:t>DMRS-</w:t>
            </w:r>
            <w:proofErr w:type="spellStart"/>
            <w:r>
              <w:rPr>
                <w:i/>
                <w:iCs/>
              </w:rPr>
              <w:t>UplinkConfig</w:t>
            </w:r>
            <w:proofErr w:type="spellEnd"/>
            <w:r>
              <w:rPr>
                <w:i/>
                <w:iCs/>
              </w:rPr>
              <w:t xml:space="preserve"> </w:t>
            </w:r>
            <w:r>
              <w:t>IE if provided and the PUSCH is scheduled by DCI format 0_0 with the CRC scrambled by C-RNTI, MCS-C-RNTI, or CS-RNTI;</w:t>
            </w:r>
          </w:p>
          <w:p w:rsidR="00BB5022" w:rsidRDefault="00BB5022" w:rsidP="00BB5022">
            <w:pPr>
              <w:pStyle w:val="B10"/>
            </w:pPr>
            <w:r>
              <w:t xml:space="preserve">-     </w:t>
            </w:r>
            <w:r>
              <w:rPr>
                <w:noProof/>
                <w:position w:val="-10"/>
              </w:rPr>
              <w:drawing>
                <wp:inline distT="0" distB="0" distL="0" distR="0" wp14:anchorId="6CAF73C2" wp14:editId="21F8C6A6">
                  <wp:extent cx="732790" cy="2755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2790" cy="275590"/>
                          </a:xfrm>
                          <a:prstGeom prst="rect">
                            <a:avLst/>
                          </a:prstGeom>
                          <a:noFill/>
                          <a:ln>
                            <a:noFill/>
                          </a:ln>
                        </pic:spPr>
                      </pic:pic>
                    </a:graphicData>
                  </a:graphic>
                </wp:inline>
              </w:drawing>
            </w:r>
            <w:proofErr w:type="gramStart"/>
            <w:r>
              <w:t>otherwise</w:t>
            </w:r>
            <w:proofErr w:type="gramEnd"/>
            <w:r>
              <w:t xml:space="preserve">. </w:t>
            </w:r>
          </w:p>
          <w:p w:rsidR="00BB5022" w:rsidRDefault="00BB5022" w:rsidP="00BB5022">
            <w:r>
              <w:t xml:space="preserve">The quantity </w:t>
            </w:r>
            <m:oMath>
              <m:sSub>
                <m:sSubPr>
                  <m:ctrlPr>
                    <w:rPr>
                      <w:rFonts w:ascii="Cambria Math" w:hAnsi="Cambria Math"/>
                      <w:i/>
                      <w:iCs/>
                      <w:sz w:val="24"/>
                      <w:szCs w:val="24"/>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iCs/>
                      <w:sz w:val="24"/>
                      <w:szCs w:val="24"/>
                    </w:rPr>
                  </m:ctrlPr>
                </m:dPr>
                <m:e>
                  <m:r>
                    <w:rPr>
                      <w:rFonts w:ascii="Cambria Math" w:hAnsi="Cambria Math"/>
                    </w:rPr>
                    <m:t>0,1</m:t>
                  </m:r>
                </m:e>
              </m:d>
            </m:oMath>
            <w:r>
              <w:t xml:space="preserve"> is indicated by the DM-RS initialization field, if present, either in the DCI associated with the PUSCH transmission if DCI format 0_1 in [4, TS 38.212] is used or by the higher layer parameter </w:t>
            </w:r>
            <w:proofErr w:type="spellStart"/>
            <w:r>
              <w:rPr>
                <w:i/>
                <w:iCs/>
              </w:rPr>
              <w:t>dmrs-SeqInitialization</w:t>
            </w:r>
            <w:proofErr w:type="spellEnd"/>
            <w:r>
              <w:t xml:space="preserve">, if present, for a Type 1 PUSCH transmission with a configured grant, otherwise </w:t>
            </w:r>
            <m:oMath>
              <m:sSub>
                <m:sSubPr>
                  <m:ctrlPr>
                    <w:rPr>
                      <w:rFonts w:ascii="Cambria Math" w:hAnsi="Cambria Math"/>
                      <w:i/>
                      <w:iCs/>
                      <w:sz w:val="24"/>
                      <w:szCs w:val="24"/>
                    </w:rPr>
                  </m:ctrlPr>
                </m:sSubPr>
                <m:e>
                  <m:r>
                    <w:rPr>
                      <w:rFonts w:ascii="Cambria Math" w:hAnsi="Cambria Math"/>
                    </w:rPr>
                    <m:t>n</m:t>
                  </m:r>
                </m:e>
                <m:sub>
                  <m:r>
                    <m:rPr>
                      <m:nor/>
                    </m:rPr>
                    <w:rPr>
                      <w:rFonts w:ascii="Cambria Math" w:hAnsi="Cambria Math"/>
                    </w:rPr>
                    <m:t>SCID</m:t>
                  </m:r>
                </m:sub>
              </m:sSub>
              <m:r>
                <w:rPr>
                  <w:rFonts w:ascii="Cambria Math" w:hAnsi="Cambria Math"/>
                </w:rPr>
                <m:t>=0</m:t>
              </m:r>
            </m:oMath>
            <w:r>
              <w:t>.</w:t>
            </w:r>
          </w:p>
        </w:tc>
      </w:tr>
    </w:tbl>
    <w:p w:rsidR="00D70751" w:rsidRDefault="00D70751" w:rsidP="005A143D">
      <w:pPr>
        <w:jc w:val="both"/>
      </w:pPr>
    </w:p>
    <w:p w:rsidR="002A0B81" w:rsidRPr="00B21EF2" w:rsidRDefault="002A0B81" w:rsidP="009B00D2">
      <w:pPr>
        <w:jc w:val="both"/>
        <w:rPr>
          <w:rFonts w:asciiTheme="majorBidi" w:hAnsiTheme="majorBidi" w:cstheme="majorBidi"/>
        </w:rPr>
      </w:pPr>
      <w:r w:rsidRPr="00B21EF2">
        <w:rPr>
          <w:rFonts w:asciiTheme="majorBidi" w:hAnsiTheme="majorBidi" w:cstheme="majorBidi"/>
        </w:rPr>
        <w:t>From the above contents from TS 38.211, we have the following observation:</w:t>
      </w:r>
    </w:p>
    <w:p w:rsidR="00BB5022" w:rsidRPr="00B21EF2" w:rsidRDefault="00BB5022" w:rsidP="00CE6F54">
      <w:pPr>
        <w:jc w:val="both"/>
        <w:rPr>
          <w:rFonts w:asciiTheme="majorBidi" w:hAnsiTheme="majorBidi" w:cstheme="majorBidi"/>
          <w:b/>
          <w:bCs/>
        </w:rPr>
      </w:pPr>
      <w:r w:rsidRPr="00B21EF2">
        <w:rPr>
          <w:rFonts w:asciiTheme="majorBidi" w:hAnsiTheme="majorBidi" w:cstheme="majorBidi"/>
          <w:b/>
          <w:bCs/>
          <w:u w:val="single"/>
        </w:rPr>
        <w:t>Observation 1</w:t>
      </w:r>
      <w:r w:rsidRPr="00B21EF2">
        <w:rPr>
          <w:rFonts w:asciiTheme="majorBidi" w:hAnsiTheme="majorBidi" w:cstheme="majorBidi"/>
          <w:b/>
          <w:bCs/>
        </w:rPr>
        <w:t xml:space="preserve">: </w:t>
      </w:r>
      <w:r w:rsidR="00CE6F54" w:rsidRPr="00B21EF2">
        <w:rPr>
          <w:rFonts w:asciiTheme="majorBidi" w:hAnsiTheme="majorBidi" w:cstheme="majorBidi"/>
          <w:b/>
          <w:bCs/>
        </w:rPr>
        <w:t xml:space="preserve">DMRS sequence generation depends on higher layer parameters. </w:t>
      </w:r>
      <w:r w:rsidR="00F961F6" w:rsidRPr="00B21EF2">
        <w:rPr>
          <w:rFonts w:asciiTheme="majorBidi" w:hAnsiTheme="majorBidi" w:cstheme="majorBidi"/>
          <w:b/>
          <w:bCs/>
        </w:rPr>
        <w:t>F</w:t>
      </w:r>
      <w:r w:rsidRPr="00B21EF2">
        <w:rPr>
          <w:rFonts w:asciiTheme="majorBidi" w:hAnsiTheme="majorBidi" w:cstheme="majorBidi"/>
          <w:b/>
          <w:bCs/>
        </w:rPr>
        <w:t xml:space="preserve">or DFT-s-OFD, it is required that different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nor/>
              </m:rPr>
              <w:rPr>
                <w:rFonts w:asciiTheme="majorBidi" w:eastAsia="Times New Roman" w:hAnsiTheme="majorBidi" w:cstheme="majorBidi"/>
                <w:color w:val="000000"/>
                <w:kern w:val="24"/>
                <w:sz w:val="26"/>
                <w:szCs w:val="26"/>
              </w:rPr>
              <m:t>ID</m:t>
            </m:r>
          </m:sub>
          <m:sup>
            <m:r>
              <m:rPr>
                <m:nor/>
              </m:rPr>
              <w:rPr>
                <w:rFonts w:asciiTheme="majorBidi" w:eastAsia="Times New Roman" w:hAnsiTheme="majorBidi" w:cstheme="majorBidi"/>
                <w:color w:val="000000"/>
                <w:kern w:val="24"/>
                <w:sz w:val="26"/>
                <w:szCs w:val="26"/>
              </w:rPr>
              <m:t>RS</m:t>
            </m:r>
          </m:sup>
        </m:sSubSup>
      </m:oMath>
      <w:r w:rsidRPr="00B21EF2">
        <w:rPr>
          <w:rFonts w:asciiTheme="majorBidi" w:hAnsiTheme="majorBidi" w:cstheme="majorBidi"/>
          <w:b/>
          <w:bCs/>
        </w:rPr>
        <w:t xml:space="preserve"> parameters are configured (not necessarily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nor/>
              </m:rPr>
              <w:rPr>
                <w:rFonts w:asciiTheme="majorBidi" w:eastAsia="Times New Roman" w:hAnsiTheme="majorBidi" w:cstheme="majorBidi"/>
                <w:color w:val="000000"/>
                <w:kern w:val="24"/>
                <w:sz w:val="26"/>
                <w:szCs w:val="26"/>
              </w:rPr>
              <m:t>ID</m:t>
            </m:r>
          </m:sub>
          <m:sup>
            <m:r>
              <m:rPr>
                <m:nor/>
              </m:rPr>
              <w:rPr>
                <w:rFonts w:asciiTheme="majorBidi" w:eastAsia="Times New Roman" w:hAnsiTheme="majorBidi" w:cstheme="majorBidi"/>
                <w:color w:val="000000"/>
                <w:kern w:val="24"/>
                <w:sz w:val="26"/>
                <w:szCs w:val="26"/>
              </w:rPr>
              <m:t>cell</m:t>
            </m:r>
          </m:sup>
        </m:sSubSup>
      </m:oMath>
      <w:r w:rsidRPr="00B21EF2">
        <w:rPr>
          <w:rFonts w:asciiTheme="majorBidi" w:hAnsiTheme="majorBidi" w:cstheme="majorBidi"/>
          <w:b/>
          <w:bCs/>
        </w:rPr>
        <w:t xml:space="preserve">) to have different DMRS sequences among CCs. For CP-OFDM, it is required that different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sty m:val="p"/>
              </m:rPr>
              <w:rPr>
                <w:rFonts w:ascii="Cambria Math" w:eastAsia="Times New Roman" w:hAnsi="Cambria Math" w:cstheme="majorBidi"/>
                <w:color w:val="000000"/>
                <w:kern w:val="24"/>
                <w:sz w:val="26"/>
                <w:szCs w:val="26"/>
              </w:rPr>
              <m:t>ID</m:t>
            </m:r>
          </m:sub>
          <m:sup>
            <m:sSub>
              <m:sSubPr>
                <m:ctrlPr>
                  <w:rPr>
                    <w:rFonts w:ascii="Cambria Math" w:eastAsia="Times New Roman" w:hAnsi="Cambria Math" w:cstheme="majorBidi"/>
                    <w:i/>
                    <w:iCs/>
                    <w:color w:val="000000"/>
                    <w:kern w:val="24"/>
                    <w:sz w:val="26"/>
                    <w:szCs w:val="26"/>
                  </w:rPr>
                </m:ctrlPr>
              </m:sSubPr>
              <m:e>
                <m:r>
                  <w:rPr>
                    <w:rFonts w:ascii="Cambria Math" w:eastAsia="Times New Roman" w:hAnsi="Cambria Math" w:cstheme="majorBidi"/>
                    <w:color w:val="000000"/>
                    <w:kern w:val="24"/>
                    <w:sz w:val="26"/>
                    <w:szCs w:val="26"/>
                  </w:rPr>
                  <m:t>n</m:t>
                </m:r>
              </m:e>
              <m:sub>
                <m:r>
                  <m:rPr>
                    <m:sty m:val="p"/>
                  </m:rPr>
                  <w:rPr>
                    <w:rFonts w:ascii="Cambria Math" w:eastAsia="Times New Roman" w:hAnsi="Cambria Math" w:cstheme="majorBidi"/>
                    <w:color w:val="000000"/>
                    <w:kern w:val="24"/>
                    <w:sz w:val="26"/>
                    <w:szCs w:val="26"/>
                  </w:rPr>
                  <m:t>SCID</m:t>
                </m:r>
              </m:sub>
            </m:sSub>
          </m:sup>
        </m:sSubSup>
      </m:oMath>
      <w:r w:rsidRPr="00B21EF2">
        <w:rPr>
          <w:rFonts w:asciiTheme="majorBidi" w:hAnsiTheme="majorBidi" w:cstheme="majorBidi"/>
          <w:b/>
          <w:bCs/>
        </w:rPr>
        <w:t xml:space="preserve"> parameters are configured </w:t>
      </w:r>
      <w:r w:rsidRPr="00B21EF2">
        <w:rPr>
          <w:rFonts w:asciiTheme="majorBidi" w:hAnsiTheme="majorBidi" w:cstheme="majorBidi"/>
          <w:b/>
          <w:bCs/>
        </w:rPr>
        <w:lastRenderedPageBreak/>
        <w:t xml:space="preserve">(not necessarily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nor/>
              </m:rPr>
              <w:rPr>
                <w:rFonts w:asciiTheme="majorBidi" w:eastAsia="Times New Roman" w:hAnsiTheme="majorBidi" w:cstheme="majorBidi"/>
                <w:color w:val="000000"/>
                <w:kern w:val="24"/>
                <w:sz w:val="26"/>
                <w:szCs w:val="26"/>
              </w:rPr>
              <m:t>ID</m:t>
            </m:r>
          </m:sub>
          <m:sup>
            <m:r>
              <m:rPr>
                <m:nor/>
              </m:rPr>
              <w:rPr>
                <w:rFonts w:asciiTheme="majorBidi" w:eastAsia="Times New Roman" w:hAnsiTheme="majorBidi" w:cstheme="majorBidi"/>
                <w:color w:val="000000"/>
                <w:kern w:val="24"/>
                <w:sz w:val="26"/>
                <w:szCs w:val="26"/>
              </w:rPr>
              <m:t>cell</m:t>
            </m:r>
          </m:sup>
        </m:sSubSup>
      </m:oMath>
      <w:r w:rsidRPr="00B21EF2">
        <w:rPr>
          <w:rFonts w:asciiTheme="majorBidi" w:hAnsiTheme="majorBidi" w:cstheme="majorBidi"/>
          <w:b/>
          <w:bCs/>
        </w:rPr>
        <w:t xml:space="preserve">) to have different DMRS sequences among CCs. </w:t>
      </w:r>
      <w:r w:rsidR="000457D5" w:rsidRPr="00B21EF2">
        <w:rPr>
          <w:rFonts w:asciiTheme="majorBidi" w:hAnsiTheme="majorBidi" w:cstheme="majorBidi"/>
          <w:b/>
          <w:bCs/>
        </w:rPr>
        <w:t>I</w:t>
      </w:r>
      <w:r w:rsidRPr="00B21EF2">
        <w:rPr>
          <w:rFonts w:asciiTheme="majorBidi" w:hAnsiTheme="majorBidi" w:cstheme="majorBidi"/>
          <w:b/>
          <w:bCs/>
        </w:rPr>
        <w:t xml:space="preserve">f cell IDs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nor/>
              </m:rPr>
              <w:rPr>
                <w:rFonts w:asciiTheme="majorBidi" w:eastAsia="Times New Roman" w:hAnsiTheme="majorBidi" w:cstheme="majorBidi"/>
                <w:color w:val="000000"/>
                <w:kern w:val="24"/>
                <w:sz w:val="26"/>
                <w:szCs w:val="26"/>
              </w:rPr>
              <m:t>ID</m:t>
            </m:r>
          </m:sub>
          <m:sup>
            <m:r>
              <m:rPr>
                <m:nor/>
              </m:rPr>
              <w:rPr>
                <w:rFonts w:asciiTheme="majorBidi" w:eastAsia="Times New Roman" w:hAnsiTheme="majorBidi" w:cstheme="majorBidi"/>
                <w:color w:val="000000"/>
                <w:kern w:val="24"/>
                <w:sz w:val="26"/>
                <w:szCs w:val="26"/>
              </w:rPr>
              <m:t>cell</m:t>
            </m:r>
          </m:sup>
        </m:sSubSup>
      </m:oMath>
      <w:r w:rsidRPr="00B21EF2">
        <w:rPr>
          <w:rFonts w:asciiTheme="majorBidi" w:hAnsiTheme="majorBidi" w:cstheme="majorBidi"/>
          <w:b/>
          <w:bCs/>
        </w:rPr>
        <w:t xml:space="preserve"> are different, </w:t>
      </w:r>
      <w:r w:rsidR="000457D5" w:rsidRPr="00B21EF2">
        <w:rPr>
          <w:rFonts w:asciiTheme="majorBidi" w:hAnsiTheme="majorBidi" w:cstheme="majorBidi"/>
          <w:b/>
          <w:bCs/>
        </w:rPr>
        <w:t>it is not guaranteed that</w:t>
      </w:r>
      <w:r w:rsidRPr="00B21EF2">
        <w:rPr>
          <w:rFonts w:asciiTheme="majorBidi" w:hAnsiTheme="majorBidi" w:cstheme="majorBidi"/>
          <w:b/>
          <w:bCs/>
        </w:rPr>
        <w:t xml:space="preserve"> DMRS sequence</w:t>
      </w:r>
      <w:r w:rsidR="00CF58D3" w:rsidRPr="00B21EF2">
        <w:rPr>
          <w:rFonts w:asciiTheme="majorBidi" w:hAnsiTheme="majorBidi" w:cstheme="majorBidi"/>
          <w:b/>
          <w:bCs/>
        </w:rPr>
        <w:t>s</w:t>
      </w:r>
      <w:r w:rsidRPr="00B21EF2">
        <w:rPr>
          <w:rFonts w:asciiTheme="majorBidi" w:hAnsiTheme="majorBidi" w:cstheme="majorBidi"/>
          <w:b/>
          <w:bCs/>
        </w:rPr>
        <w:t xml:space="preserve"> used in CCs</w:t>
      </w:r>
      <w:r w:rsidR="000457D5" w:rsidRPr="00B21EF2">
        <w:rPr>
          <w:rFonts w:asciiTheme="majorBidi" w:hAnsiTheme="majorBidi" w:cstheme="majorBidi"/>
          <w:b/>
          <w:bCs/>
        </w:rPr>
        <w:t xml:space="preserve"> are different</w:t>
      </w:r>
      <w:r w:rsidRPr="00B21EF2">
        <w:rPr>
          <w:rFonts w:asciiTheme="majorBidi" w:hAnsiTheme="majorBidi" w:cstheme="majorBidi"/>
          <w:b/>
          <w:bCs/>
        </w:rPr>
        <w:t>.</w:t>
      </w:r>
    </w:p>
    <w:p w:rsidR="00D70751" w:rsidRPr="00B21EF2" w:rsidRDefault="00D70751" w:rsidP="005A143D">
      <w:pPr>
        <w:jc w:val="both"/>
        <w:rPr>
          <w:rFonts w:asciiTheme="majorBidi" w:hAnsiTheme="majorBidi" w:cstheme="majorBidi"/>
        </w:rPr>
      </w:pPr>
    </w:p>
    <w:p w:rsidR="00BB5022" w:rsidRPr="00B21EF2" w:rsidRDefault="00BB5022" w:rsidP="005A143D">
      <w:pPr>
        <w:jc w:val="both"/>
        <w:rPr>
          <w:rFonts w:asciiTheme="majorBidi" w:hAnsiTheme="majorBidi" w:cstheme="majorBidi"/>
        </w:rPr>
      </w:pPr>
      <w:r w:rsidRPr="00B21EF2">
        <w:rPr>
          <w:rFonts w:asciiTheme="majorBidi" w:hAnsiTheme="majorBidi" w:cstheme="majorBidi"/>
        </w:rPr>
        <w:t>If CCs has same DMRS sequence, PAPR increases compared to the case of different DMRS sequence within CCs.</w:t>
      </w:r>
      <w:r w:rsidR="00CA5AD9" w:rsidRPr="00B21EF2">
        <w:rPr>
          <w:rFonts w:asciiTheme="majorBidi" w:hAnsiTheme="majorBidi" w:cstheme="majorBidi"/>
        </w:rPr>
        <w:t xml:space="preserve"> In </w:t>
      </w:r>
      <w:r w:rsidR="00073178" w:rsidRPr="00B21EF2">
        <w:rPr>
          <w:rFonts w:asciiTheme="majorBidi" w:hAnsiTheme="majorBidi" w:cstheme="majorBidi"/>
        </w:rPr>
        <w:t>table 1 and table 2</w:t>
      </w:r>
      <w:r w:rsidR="00CA5AD9" w:rsidRPr="00B21EF2">
        <w:rPr>
          <w:rFonts w:asciiTheme="majorBidi" w:hAnsiTheme="majorBidi" w:cstheme="majorBidi"/>
        </w:rPr>
        <w:t xml:space="preserve">, we evaluate the PAPR of single CC and CA contiguous allocation with </w:t>
      </w:r>
      <w:r w:rsidR="00073178" w:rsidRPr="00B21EF2">
        <w:rPr>
          <w:rFonts w:asciiTheme="majorBidi" w:hAnsiTheme="majorBidi" w:cstheme="majorBidi"/>
        </w:rPr>
        <w:t>400MHz</w:t>
      </w:r>
      <w:r w:rsidR="00CA5AD9" w:rsidRPr="00B21EF2">
        <w:rPr>
          <w:rFonts w:asciiTheme="majorBidi" w:hAnsiTheme="majorBidi" w:cstheme="majorBidi"/>
        </w:rPr>
        <w:t xml:space="preserve"> aggregated bandwidth</w:t>
      </w:r>
      <w:r w:rsidR="00073178" w:rsidRPr="00B21EF2">
        <w:rPr>
          <w:rFonts w:asciiTheme="majorBidi" w:hAnsiTheme="majorBidi" w:cstheme="majorBidi"/>
        </w:rPr>
        <w:t xml:space="preserve"> with different DMRS sequences and same DMRS sequence respectively.</w:t>
      </w:r>
    </w:p>
    <w:p w:rsidR="00073178" w:rsidRPr="00B21EF2" w:rsidRDefault="00073178" w:rsidP="00073178">
      <w:pPr>
        <w:rPr>
          <w:rFonts w:asciiTheme="majorBidi" w:hAnsiTheme="majorBidi" w:cstheme="majorBidi"/>
        </w:rPr>
      </w:pPr>
    </w:p>
    <w:tbl>
      <w:tblPr>
        <w:tblStyle w:val="TableGrid"/>
        <w:tblW w:w="8020" w:type="dxa"/>
        <w:jc w:val="center"/>
        <w:tblLook w:val="0420" w:firstRow="1" w:lastRow="0" w:firstColumn="0" w:lastColumn="0" w:noHBand="0" w:noVBand="1"/>
      </w:tblPr>
      <w:tblGrid>
        <w:gridCol w:w="1614"/>
        <w:gridCol w:w="1099"/>
        <w:gridCol w:w="1278"/>
        <w:gridCol w:w="1416"/>
        <w:gridCol w:w="1297"/>
        <w:gridCol w:w="1316"/>
      </w:tblGrid>
      <w:tr w:rsidR="00073178" w:rsidRPr="00B21EF2" w:rsidTr="00B12804">
        <w:trPr>
          <w:jc w:val="center"/>
        </w:trPr>
        <w:tc>
          <w:tcPr>
            <w:tcW w:w="8020" w:type="dxa"/>
            <w:gridSpan w:val="6"/>
            <w:tcBorders>
              <w:top w:val="nil"/>
              <w:left w:val="nil"/>
              <w:bottom w:val="single" w:sz="4" w:space="0" w:color="auto"/>
              <w:right w:val="nil"/>
            </w:tcBorders>
          </w:tcPr>
          <w:p w:rsidR="00073178" w:rsidRPr="00B21EF2" w:rsidRDefault="00073178" w:rsidP="00073178">
            <w:pPr>
              <w:ind w:left="-108"/>
              <w:jc w:val="both"/>
              <w:rPr>
                <w:rFonts w:asciiTheme="majorBidi" w:eastAsiaTheme="minorEastAsia" w:hAnsiTheme="majorBidi" w:cstheme="majorBidi"/>
                <w:kern w:val="24"/>
                <w:sz w:val="20"/>
                <w:szCs w:val="20"/>
              </w:rPr>
            </w:pPr>
            <w:r w:rsidRPr="00B21EF2">
              <w:rPr>
                <w:rFonts w:asciiTheme="majorBidi" w:eastAsiaTheme="minorEastAsia" w:hAnsiTheme="majorBidi" w:cstheme="majorBidi"/>
                <w:kern w:val="24"/>
                <w:sz w:val="18"/>
                <w:szCs w:val="18"/>
              </w:rPr>
              <w:t>Table 1: PAPR of single CC and CA contiguous allocation with 400MHz aggregated bandwidth with different DMRS sequences</w:t>
            </w:r>
          </w:p>
        </w:tc>
      </w:tr>
      <w:tr w:rsidR="00073178" w:rsidRPr="00B21EF2" w:rsidTr="00073178">
        <w:trPr>
          <w:jc w:val="center"/>
        </w:trPr>
        <w:tc>
          <w:tcPr>
            <w:tcW w:w="2713" w:type="dxa"/>
            <w:gridSpan w:val="2"/>
            <w:vMerge w:val="restart"/>
            <w:tcBorders>
              <w:top w:val="single" w:sz="4" w:space="0" w:color="auto"/>
            </w:tcBorders>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kern w:val="24"/>
                <w:sz w:val="20"/>
                <w:szCs w:val="20"/>
              </w:rPr>
              <w:t>Waveform/Modulation</w:t>
            </w:r>
          </w:p>
        </w:tc>
        <w:tc>
          <w:tcPr>
            <w:tcW w:w="5307" w:type="dxa"/>
            <w:gridSpan w:val="4"/>
            <w:tcBorders>
              <w:top w:val="single" w:sz="4" w:space="0" w:color="auto"/>
            </w:tcBorders>
            <w:hideMark/>
          </w:tcPr>
          <w:p w:rsidR="00073178" w:rsidRPr="00B21EF2" w:rsidRDefault="00073178" w:rsidP="00073178">
            <w:pPr>
              <w:jc w:val="center"/>
              <w:rPr>
                <w:rFonts w:asciiTheme="majorBidi" w:eastAsia="Times New Roman" w:hAnsiTheme="majorBidi" w:cstheme="majorBidi"/>
                <w:b/>
                <w:bCs/>
                <w:sz w:val="36"/>
                <w:szCs w:val="36"/>
              </w:rPr>
            </w:pPr>
            <w:r w:rsidRPr="00B21EF2">
              <w:rPr>
                <w:rFonts w:asciiTheme="majorBidi" w:eastAsiaTheme="minorEastAsia" w:hAnsiTheme="majorBidi" w:cstheme="majorBidi"/>
                <w:b/>
                <w:bCs/>
                <w:kern w:val="24"/>
                <w:sz w:val="20"/>
                <w:szCs w:val="20"/>
              </w:rPr>
              <w:t>99.9% PAPR (dB)</w:t>
            </w:r>
          </w:p>
        </w:tc>
      </w:tr>
      <w:tr w:rsidR="00073178" w:rsidRPr="00B21EF2" w:rsidTr="00073178">
        <w:trPr>
          <w:jc w:val="center"/>
        </w:trPr>
        <w:tc>
          <w:tcPr>
            <w:tcW w:w="0" w:type="auto"/>
            <w:gridSpan w:val="2"/>
            <w:vMerge/>
            <w:hideMark/>
          </w:tcPr>
          <w:p w:rsidR="00073178" w:rsidRPr="00B21EF2" w:rsidRDefault="00073178" w:rsidP="00073178">
            <w:pPr>
              <w:rPr>
                <w:rFonts w:asciiTheme="majorBidi" w:eastAsia="Times New Roman" w:hAnsiTheme="majorBidi" w:cstheme="majorBidi"/>
                <w:b/>
                <w:bCs/>
                <w:sz w:val="36"/>
                <w:szCs w:val="36"/>
              </w:rPr>
            </w:pPr>
          </w:p>
        </w:tc>
        <w:tc>
          <w:tcPr>
            <w:tcW w:w="1278"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1x400MHz</w:t>
            </w:r>
          </w:p>
        </w:tc>
        <w:tc>
          <w:tcPr>
            <w:tcW w:w="14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2x200MHz</w:t>
            </w:r>
          </w:p>
        </w:tc>
        <w:tc>
          <w:tcPr>
            <w:tcW w:w="1297"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4x100MHz</w:t>
            </w:r>
          </w:p>
        </w:tc>
        <w:tc>
          <w:tcPr>
            <w:tcW w:w="13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8x50MHz</w:t>
            </w:r>
          </w:p>
        </w:tc>
      </w:tr>
      <w:tr w:rsidR="00073178" w:rsidRPr="00B21EF2" w:rsidTr="00073178">
        <w:trPr>
          <w:jc w:val="center"/>
        </w:trPr>
        <w:tc>
          <w:tcPr>
            <w:tcW w:w="1614" w:type="dxa"/>
            <w:vMerge w:val="restart"/>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DFT-s-OFDM</w:t>
            </w:r>
          </w:p>
        </w:tc>
        <w:tc>
          <w:tcPr>
            <w:tcW w:w="1099"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BPSK</w:t>
            </w:r>
          </w:p>
        </w:tc>
        <w:tc>
          <w:tcPr>
            <w:tcW w:w="1278"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6.7</w:t>
            </w:r>
          </w:p>
        </w:tc>
        <w:tc>
          <w:tcPr>
            <w:tcW w:w="14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8.2</w:t>
            </w:r>
          </w:p>
        </w:tc>
        <w:tc>
          <w:tcPr>
            <w:tcW w:w="1297"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9.4</w:t>
            </w:r>
          </w:p>
        </w:tc>
        <w:tc>
          <w:tcPr>
            <w:tcW w:w="13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10.6</w:t>
            </w:r>
          </w:p>
        </w:tc>
      </w:tr>
      <w:tr w:rsidR="00073178" w:rsidRPr="00B21EF2" w:rsidTr="00073178">
        <w:trPr>
          <w:jc w:val="center"/>
        </w:trPr>
        <w:tc>
          <w:tcPr>
            <w:tcW w:w="0" w:type="auto"/>
            <w:vMerge/>
            <w:hideMark/>
          </w:tcPr>
          <w:p w:rsidR="00073178" w:rsidRPr="00B21EF2" w:rsidRDefault="00073178" w:rsidP="00073178">
            <w:pPr>
              <w:rPr>
                <w:rFonts w:asciiTheme="majorBidi" w:eastAsia="Times New Roman" w:hAnsiTheme="majorBidi" w:cstheme="majorBidi"/>
                <w:b/>
                <w:bCs/>
                <w:sz w:val="36"/>
                <w:szCs w:val="36"/>
              </w:rPr>
            </w:pPr>
          </w:p>
        </w:tc>
        <w:tc>
          <w:tcPr>
            <w:tcW w:w="1099"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QPSK</w:t>
            </w:r>
          </w:p>
        </w:tc>
        <w:tc>
          <w:tcPr>
            <w:tcW w:w="1278"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8.2</w:t>
            </w:r>
          </w:p>
        </w:tc>
        <w:tc>
          <w:tcPr>
            <w:tcW w:w="14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9.4</w:t>
            </w:r>
          </w:p>
        </w:tc>
        <w:tc>
          <w:tcPr>
            <w:tcW w:w="1297"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10.5</w:t>
            </w:r>
          </w:p>
        </w:tc>
        <w:tc>
          <w:tcPr>
            <w:tcW w:w="13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11.3</w:t>
            </w:r>
          </w:p>
        </w:tc>
      </w:tr>
      <w:tr w:rsidR="00073178" w:rsidRPr="00B21EF2" w:rsidTr="00073178">
        <w:trPr>
          <w:jc w:val="center"/>
        </w:trPr>
        <w:tc>
          <w:tcPr>
            <w:tcW w:w="0" w:type="auto"/>
            <w:vMerge/>
            <w:hideMark/>
          </w:tcPr>
          <w:p w:rsidR="00073178" w:rsidRPr="00B21EF2" w:rsidRDefault="00073178" w:rsidP="00073178">
            <w:pPr>
              <w:rPr>
                <w:rFonts w:asciiTheme="majorBidi" w:eastAsia="Times New Roman" w:hAnsiTheme="majorBidi" w:cstheme="majorBidi"/>
                <w:b/>
                <w:bCs/>
                <w:sz w:val="36"/>
                <w:szCs w:val="36"/>
              </w:rPr>
            </w:pPr>
          </w:p>
        </w:tc>
        <w:tc>
          <w:tcPr>
            <w:tcW w:w="1099"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16QAM</w:t>
            </w:r>
          </w:p>
        </w:tc>
        <w:tc>
          <w:tcPr>
            <w:tcW w:w="1278"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9.3</w:t>
            </w:r>
          </w:p>
        </w:tc>
        <w:tc>
          <w:tcPr>
            <w:tcW w:w="14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10.2</w:t>
            </w:r>
          </w:p>
        </w:tc>
        <w:tc>
          <w:tcPr>
            <w:tcW w:w="1297"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10.8</w:t>
            </w:r>
          </w:p>
        </w:tc>
        <w:tc>
          <w:tcPr>
            <w:tcW w:w="13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11.5</w:t>
            </w:r>
          </w:p>
        </w:tc>
      </w:tr>
      <w:tr w:rsidR="00073178" w:rsidRPr="00B21EF2" w:rsidTr="00073178">
        <w:trPr>
          <w:jc w:val="center"/>
        </w:trPr>
        <w:tc>
          <w:tcPr>
            <w:tcW w:w="0" w:type="auto"/>
            <w:vMerge/>
            <w:hideMark/>
          </w:tcPr>
          <w:p w:rsidR="00073178" w:rsidRPr="00B21EF2" w:rsidRDefault="00073178" w:rsidP="00073178">
            <w:pPr>
              <w:rPr>
                <w:rFonts w:asciiTheme="majorBidi" w:eastAsia="Times New Roman" w:hAnsiTheme="majorBidi" w:cstheme="majorBidi"/>
                <w:b/>
                <w:bCs/>
                <w:sz w:val="36"/>
                <w:szCs w:val="36"/>
              </w:rPr>
            </w:pPr>
          </w:p>
        </w:tc>
        <w:tc>
          <w:tcPr>
            <w:tcW w:w="1099"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64QAM</w:t>
            </w:r>
          </w:p>
        </w:tc>
        <w:tc>
          <w:tcPr>
            <w:tcW w:w="1278"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9.8</w:t>
            </w:r>
          </w:p>
        </w:tc>
        <w:tc>
          <w:tcPr>
            <w:tcW w:w="14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10.5</w:t>
            </w:r>
          </w:p>
        </w:tc>
        <w:tc>
          <w:tcPr>
            <w:tcW w:w="1297"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11.1</w:t>
            </w:r>
          </w:p>
        </w:tc>
        <w:tc>
          <w:tcPr>
            <w:tcW w:w="13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11.6</w:t>
            </w:r>
          </w:p>
        </w:tc>
      </w:tr>
      <w:tr w:rsidR="00073178" w:rsidRPr="00B21EF2" w:rsidTr="00073178">
        <w:trPr>
          <w:jc w:val="center"/>
        </w:trPr>
        <w:tc>
          <w:tcPr>
            <w:tcW w:w="1614" w:type="dxa"/>
            <w:vMerge w:val="restart"/>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CP-OFDM</w:t>
            </w:r>
          </w:p>
        </w:tc>
        <w:tc>
          <w:tcPr>
            <w:tcW w:w="1099"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QPSK</w:t>
            </w:r>
          </w:p>
        </w:tc>
        <w:tc>
          <w:tcPr>
            <w:tcW w:w="1278" w:type="dxa"/>
            <w:hideMark/>
          </w:tcPr>
          <w:p w:rsidR="00073178" w:rsidRPr="00B21EF2" w:rsidRDefault="00073178" w:rsidP="00073178">
            <w:pPr>
              <w:rPr>
                <w:rFonts w:asciiTheme="majorBidi" w:eastAsia="Times New Roman" w:hAnsiTheme="majorBidi" w:cstheme="majorBidi"/>
                <w:b/>
                <w:bCs/>
                <w:color w:val="0070C0"/>
                <w:sz w:val="36"/>
                <w:szCs w:val="36"/>
              </w:rPr>
            </w:pPr>
            <w:r w:rsidRPr="00B21EF2">
              <w:rPr>
                <w:rFonts w:asciiTheme="majorBidi" w:eastAsiaTheme="minorEastAsia" w:hAnsiTheme="majorBidi" w:cstheme="majorBidi"/>
                <w:b/>
                <w:bCs/>
                <w:color w:val="0070C0"/>
                <w:kern w:val="24"/>
                <w:sz w:val="20"/>
                <w:szCs w:val="20"/>
              </w:rPr>
              <w:t>12.2</w:t>
            </w:r>
          </w:p>
        </w:tc>
        <w:tc>
          <w:tcPr>
            <w:tcW w:w="14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12.2</w:t>
            </w:r>
          </w:p>
        </w:tc>
        <w:tc>
          <w:tcPr>
            <w:tcW w:w="1297"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FF0000"/>
                <w:kern w:val="24"/>
                <w:sz w:val="20"/>
                <w:szCs w:val="20"/>
              </w:rPr>
              <w:t>12.5</w:t>
            </w:r>
          </w:p>
        </w:tc>
        <w:tc>
          <w:tcPr>
            <w:tcW w:w="13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FF0000"/>
                <w:kern w:val="24"/>
                <w:sz w:val="20"/>
                <w:szCs w:val="20"/>
              </w:rPr>
              <w:t>12.8</w:t>
            </w:r>
          </w:p>
        </w:tc>
      </w:tr>
      <w:tr w:rsidR="00073178" w:rsidRPr="00B21EF2" w:rsidTr="00073178">
        <w:trPr>
          <w:jc w:val="center"/>
        </w:trPr>
        <w:tc>
          <w:tcPr>
            <w:tcW w:w="0" w:type="auto"/>
            <w:vMerge/>
            <w:hideMark/>
          </w:tcPr>
          <w:p w:rsidR="00073178" w:rsidRPr="00B21EF2" w:rsidRDefault="00073178" w:rsidP="00073178">
            <w:pPr>
              <w:rPr>
                <w:rFonts w:asciiTheme="majorBidi" w:eastAsia="Times New Roman" w:hAnsiTheme="majorBidi" w:cstheme="majorBidi"/>
                <w:b/>
                <w:bCs/>
                <w:sz w:val="36"/>
                <w:szCs w:val="36"/>
              </w:rPr>
            </w:pPr>
          </w:p>
        </w:tc>
        <w:tc>
          <w:tcPr>
            <w:tcW w:w="1099"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16QAM</w:t>
            </w:r>
          </w:p>
        </w:tc>
        <w:tc>
          <w:tcPr>
            <w:tcW w:w="1278" w:type="dxa"/>
            <w:hideMark/>
          </w:tcPr>
          <w:p w:rsidR="00073178" w:rsidRPr="00B21EF2" w:rsidRDefault="00073178" w:rsidP="00073178">
            <w:pPr>
              <w:rPr>
                <w:rFonts w:asciiTheme="majorBidi" w:eastAsia="Times New Roman" w:hAnsiTheme="majorBidi" w:cstheme="majorBidi"/>
                <w:b/>
                <w:bCs/>
                <w:color w:val="0070C0"/>
                <w:sz w:val="36"/>
                <w:szCs w:val="36"/>
              </w:rPr>
            </w:pPr>
            <w:r w:rsidRPr="00B21EF2">
              <w:rPr>
                <w:rFonts w:asciiTheme="majorBidi" w:eastAsiaTheme="minorEastAsia" w:hAnsiTheme="majorBidi" w:cstheme="majorBidi"/>
                <w:b/>
                <w:bCs/>
                <w:color w:val="0070C0"/>
                <w:kern w:val="24"/>
                <w:sz w:val="20"/>
                <w:szCs w:val="20"/>
              </w:rPr>
              <w:t>12.2</w:t>
            </w:r>
          </w:p>
        </w:tc>
        <w:tc>
          <w:tcPr>
            <w:tcW w:w="14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12.2</w:t>
            </w:r>
          </w:p>
        </w:tc>
        <w:tc>
          <w:tcPr>
            <w:tcW w:w="1297"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FF0000"/>
                <w:kern w:val="24"/>
                <w:sz w:val="20"/>
                <w:szCs w:val="20"/>
              </w:rPr>
              <w:t>12.5</w:t>
            </w:r>
          </w:p>
        </w:tc>
        <w:tc>
          <w:tcPr>
            <w:tcW w:w="13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FF0000"/>
                <w:kern w:val="24"/>
                <w:sz w:val="20"/>
                <w:szCs w:val="20"/>
              </w:rPr>
              <w:t>12.8</w:t>
            </w:r>
          </w:p>
        </w:tc>
      </w:tr>
      <w:tr w:rsidR="00073178" w:rsidRPr="00B21EF2" w:rsidTr="00073178">
        <w:trPr>
          <w:jc w:val="center"/>
        </w:trPr>
        <w:tc>
          <w:tcPr>
            <w:tcW w:w="0" w:type="auto"/>
            <w:vMerge/>
            <w:hideMark/>
          </w:tcPr>
          <w:p w:rsidR="00073178" w:rsidRPr="00B21EF2" w:rsidRDefault="00073178" w:rsidP="00073178">
            <w:pPr>
              <w:rPr>
                <w:rFonts w:asciiTheme="majorBidi" w:eastAsia="Times New Roman" w:hAnsiTheme="majorBidi" w:cstheme="majorBidi"/>
                <w:b/>
                <w:bCs/>
                <w:sz w:val="36"/>
                <w:szCs w:val="36"/>
              </w:rPr>
            </w:pPr>
          </w:p>
        </w:tc>
        <w:tc>
          <w:tcPr>
            <w:tcW w:w="1099"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64QAM</w:t>
            </w:r>
          </w:p>
        </w:tc>
        <w:tc>
          <w:tcPr>
            <w:tcW w:w="1278" w:type="dxa"/>
            <w:hideMark/>
          </w:tcPr>
          <w:p w:rsidR="00073178" w:rsidRPr="00B21EF2" w:rsidRDefault="00073178" w:rsidP="00073178">
            <w:pPr>
              <w:rPr>
                <w:rFonts w:asciiTheme="majorBidi" w:eastAsia="Times New Roman" w:hAnsiTheme="majorBidi" w:cstheme="majorBidi"/>
                <w:b/>
                <w:bCs/>
                <w:color w:val="0070C0"/>
                <w:sz w:val="36"/>
                <w:szCs w:val="36"/>
              </w:rPr>
            </w:pPr>
            <w:r w:rsidRPr="00B21EF2">
              <w:rPr>
                <w:rFonts w:asciiTheme="majorBidi" w:eastAsiaTheme="minorEastAsia" w:hAnsiTheme="majorBidi" w:cstheme="majorBidi"/>
                <w:b/>
                <w:bCs/>
                <w:color w:val="0070C0"/>
                <w:kern w:val="24"/>
                <w:sz w:val="20"/>
                <w:szCs w:val="20"/>
              </w:rPr>
              <w:t>12.2</w:t>
            </w:r>
          </w:p>
        </w:tc>
        <w:tc>
          <w:tcPr>
            <w:tcW w:w="14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12.2</w:t>
            </w:r>
          </w:p>
        </w:tc>
        <w:tc>
          <w:tcPr>
            <w:tcW w:w="1297"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FF0000"/>
                <w:kern w:val="24"/>
                <w:sz w:val="20"/>
                <w:szCs w:val="20"/>
              </w:rPr>
              <w:t>12.5</w:t>
            </w:r>
          </w:p>
        </w:tc>
        <w:tc>
          <w:tcPr>
            <w:tcW w:w="1316" w:type="dxa"/>
            <w:hideMark/>
          </w:tcPr>
          <w:p w:rsidR="00073178" w:rsidRPr="00B21EF2" w:rsidRDefault="00073178" w:rsidP="00073178">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FF0000"/>
                <w:kern w:val="24"/>
                <w:sz w:val="20"/>
                <w:szCs w:val="20"/>
              </w:rPr>
              <w:t>12.8</w:t>
            </w:r>
          </w:p>
        </w:tc>
      </w:tr>
    </w:tbl>
    <w:p w:rsidR="00073178" w:rsidRPr="00B21EF2" w:rsidRDefault="00073178" w:rsidP="00073178">
      <w:pPr>
        <w:rPr>
          <w:rFonts w:asciiTheme="majorBidi" w:hAnsiTheme="majorBidi" w:cstheme="majorBidi"/>
        </w:rPr>
      </w:pPr>
    </w:p>
    <w:tbl>
      <w:tblPr>
        <w:tblStyle w:val="TableGrid"/>
        <w:tblW w:w="8020" w:type="dxa"/>
        <w:jc w:val="center"/>
        <w:tblLook w:val="0420" w:firstRow="1" w:lastRow="0" w:firstColumn="0" w:lastColumn="0" w:noHBand="0" w:noVBand="1"/>
      </w:tblPr>
      <w:tblGrid>
        <w:gridCol w:w="1614"/>
        <w:gridCol w:w="1099"/>
        <w:gridCol w:w="1278"/>
        <w:gridCol w:w="1416"/>
        <w:gridCol w:w="1297"/>
        <w:gridCol w:w="1316"/>
      </w:tblGrid>
      <w:tr w:rsidR="00073178" w:rsidRPr="00B21EF2" w:rsidTr="000C2F23">
        <w:trPr>
          <w:jc w:val="center"/>
        </w:trPr>
        <w:tc>
          <w:tcPr>
            <w:tcW w:w="8020" w:type="dxa"/>
            <w:gridSpan w:val="6"/>
            <w:tcBorders>
              <w:top w:val="nil"/>
              <w:left w:val="nil"/>
              <w:bottom w:val="single" w:sz="4" w:space="0" w:color="auto"/>
              <w:right w:val="nil"/>
            </w:tcBorders>
          </w:tcPr>
          <w:p w:rsidR="00073178" w:rsidRPr="00B21EF2" w:rsidRDefault="00073178" w:rsidP="00982801">
            <w:pPr>
              <w:ind w:left="-108"/>
              <w:jc w:val="both"/>
              <w:rPr>
                <w:rFonts w:asciiTheme="majorBidi" w:eastAsiaTheme="minorEastAsia" w:hAnsiTheme="majorBidi" w:cstheme="majorBidi"/>
                <w:kern w:val="24"/>
                <w:sz w:val="20"/>
                <w:szCs w:val="20"/>
              </w:rPr>
            </w:pPr>
            <w:r w:rsidRPr="00B21EF2">
              <w:rPr>
                <w:rFonts w:asciiTheme="majorBidi" w:eastAsiaTheme="minorEastAsia" w:hAnsiTheme="majorBidi" w:cstheme="majorBidi"/>
                <w:kern w:val="24"/>
                <w:sz w:val="18"/>
                <w:szCs w:val="18"/>
              </w:rPr>
              <w:t xml:space="preserve">Table 2: PAPR of single CC and CA contiguous allocation with 400MHz aggregated bandwidth with </w:t>
            </w:r>
            <w:r w:rsidR="00982801" w:rsidRPr="00B21EF2">
              <w:rPr>
                <w:rFonts w:asciiTheme="majorBidi" w:eastAsiaTheme="minorEastAsia" w:hAnsiTheme="majorBidi" w:cstheme="majorBidi"/>
                <w:kern w:val="24"/>
                <w:sz w:val="18"/>
                <w:szCs w:val="18"/>
              </w:rPr>
              <w:t>same DMRS sequence</w:t>
            </w:r>
          </w:p>
        </w:tc>
      </w:tr>
      <w:tr w:rsidR="00073178" w:rsidRPr="00B21EF2" w:rsidTr="000C2F23">
        <w:trPr>
          <w:jc w:val="center"/>
        </w:trPr>
        <w:tc>
          <w:tcPr>
            <w:tcW w:w="2713" w:type="dxa"/>
            <w:gridSpan w:val="2"/>
            <w:vMerge w:val="restart"/>
            <w:tcBorders>
              <w:top w:val="single" w:sz="4" w:space="0" w:color="auto"/>
            </w:tcBorders>
            <w:hideMark/>
          </w:tcPr>
          <w:p w:rsidR="00073178" w:rsidRPr="00B21EF2" w:rsidRDefault="00073178" w:rsidP="000C2F23">
            <w:pPr>
              <w:rPr>
                <w:rFonts w:asciiTheme="majorBidi" w:eastAsia="Times New Roman" w:hAnsiTheme="majorBidi" w:cstheme="majorBidi"/>
                <w:b/>
                <w:bCs/>
                <w:sz w:val="36"/>
                <w:szCs w:val="36"/>
              </w:rPr>
            </w:pPr>
            <w:r w:rsidRPr="00B21EF2">
              <w:rPr>
                <w:rFonts w:asciiTheme="majorBidi" w:eastAsiaTheme="minorEastAsia" w:hAnsiTheme="majorBidi" w:cstheme="majorBidi"/>
                <w:b/>
                <w:bCs/>
                <w:kern w:val="24"/>
                <w:sz w:val="20"/>
                <w:szCs w:val="20"/>
              </w:rPr>
              <w:t>Waveform/Modulation</w:t>
            </w:r>
          </w:p>
        </w:tc>
        <w:tc>
          <w:tcPr>
            <w:tcW w:w="5307" w:type="dxa"/>
            <w:gridSpan w:val="4"/>
            <w:tcBorders>
              <w:top w:val="single" w:sz="4" w:space="0" w:color="auto"/>
            </w:tcBorders>
            <w:hideMark/>
          </w:tcPr>
          <w:p w:rsidR="00073178" w:rsidRPr="00B21EF2" w:rsidRDefault="00073178" w:rsidP="000C2F23">
            <w:pPr>
              <w:jc w:val="center"/>
              <w:rPr>
                <w:rFonts w:asciiTheme="majorBidi" w:eastAsia="Times New Roman" w:hAnsiTheme="majorBidi" w:cstheme="majorBidi"/>
                <w:b/>
                <w:bCs/>
                <w:sz w:val="36"/>
                <w:szCs w:val="36"/>
              </w:rPr>
            </w:pPr>
            <w:r w:rsidRPr="00B21EF2">
              <w:rPr>
                <w:rFonts w:asciiTheme="majorBidi" w:eastAsiaTheme="minorEastAsia" w:hAnsiTheme="majorBidi" w:cstheme="majorBidi"/>
                <w:b/>
                <w:bCs/>
                <w:kern w:val="24"/>
                <w:sz w:val="20"/>
                <w:szCs w:val="20"/>
              </w:rPr>
              <w:t>99.9% PAPR (dB)</w:t>
            </w:r>
          </w:p>
        </w:tc>
      </w:tr>
      <w:tr w:rsidR="00073178" w:rsidRPr="00B21EF2" w:rsidTr="000C2F23">
        <w:trPr>
          <w:jc w:val="center"/>
        </w:trPr>
        <w:tc>
          <w:tcPr>
            <w:tcW w:w="0" w:type="auto"/>
            <w:gridSpan w:val="2"/>
            <w:vMerge/>
            <w:hideMark/>
          </w:tcPr>
          <w:p w:rsidR="00073178" w:rsidRPr="00B21EF2" w:rsidRDefault="00073178" w:rsidP="000C2F23">
            <w:pPr>
              <w:rPr>
                <w:rFonts w:asciiTheme="majorBidi" w:eastAsia="Times New Roman" w:hAnsiTheme="majorBidi" w:cstheme="majorBidi"/>
                <w:b/>
                <w:bCs/>
                <w:sz w:val="36"/>
                <w:szCs w:val="36"/>
              </w:rPr>
            </w:pPr>
          </w:p>
        </w:tc>
        <w:tc>
          <w:tcPr>
            <w:tcW w:w="1278" w:type="dxa"/>
            <w:hideMark/>
          </w:tcPr>
          <w:p w:rsidR="00073178" w:rsidRPr="00B21EF2" w:rsidRDefault="00073178" w:rsidP="000C2F23">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1x400MHz</w:t>
            </w:r>
          </w:p>
        </w:tc>
        <w:tc>
          <w:tcPr>
            <w:tcW w:w="1416" w:type="dxa"/>
            <w:hideMark/>
          </w:tcPr>
          <w:p w:rsidR="00073178" w:rsidRPr="00B21EF2" w:rsidRDefault="00073178" w:rsidP="000C2F23">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2x200MHz</w:t>
            </w:r>
          </w:p>
        </w:tc>
        <w:tc>
          <w:tcPr>
            <w:tcW w:w="1297" w:type="dxa"/>
            <w:hideMark/>
          </w:tcPr>
          <w:p w:rsidR="00073178" w:rsidRPr="00B21EF2" w:rsidRDefault="00073178" w:rsidP="000C2F23">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4x100MHz</w:t>
            </w:r>
          </w:p>
        </w:tc>
        <w:tc>
          <w:tcPr>
            <w:tcW w:w="1316" w:type="dxa"/>
            <w:hideMark/>
          </w:tcPr>
          <w:p w:rsidR="00073178" w:rsidRPr="00B21EF2" w:rsidRDefault="00073178" w:rsidP="000C2F23">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8x50MHz</w:t>
            </w:r>
          </w:p>
        </w:tc>
      </w:tr>
      <w:tr w:rsidR="00982801" w:rsidRPr="00B21EF2" w:rsidTr="000C2F23">
        <w:trPr>
          <w:jc w:val="center"/>
        </w:trPr>
        <w:tc>
          <w:tcPr>
            <w:tcW w:w="1614" w:type="dxa"/>
            <w:vMerge w:val="restart"/>
            <w:hideMark/>
          </w:tcPr>
          <w:p w:rsidR="00982801" w:rsidRPr="00B21EF2" w:rsidRDefault="00982801" w:rsidP="00982801">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DFT-s-OFDM</w:t>
            </w:r>
          </w:p>
        </w:tc>
        <w:tc>
          <w:tcPr>
            <w:tcW w:w="1099" w:type="dxa"/>
            <w:hideMark/>
          </w:tcPr>
          <w:p w:rsidR="00982801" w:rsidRPr="00B21EF2" w:rsidRDefault="00982801" w:rsidP="00982801">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BPSK</w:t>
            </w:r>
          </w:p>
        </w:tc>
        <w:tc>
          <w:tcPr>
            <w:tcW w:w="1278"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6.7</w:t>
            </w:r>
          </w:p>
        </w:tc>
        <w:tc>
          <w:tcPr>
            <w:tcW w:w="14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8.2</w:t>
            </w:r>
          </w:p>
        </w:tc>
        <w:tc>
          <w:tcPr>
            <w:tcW w:w="1297"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9.6</w:t>
            </w:r>
          </w:p>
        </w:tc>
        <w:tc>
          <w:tcPr>
            <w:tcW w:w="13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12.9</w:t>
            </w:r>
          </w:p>
        </w:tc>
      </w:tr>
      <w:tr w:rsidR="00982801" w:rsidRPr="00B21EF2" w:rsidTr="000C2F23">
        <w:trPr>
          <w:jc w:val="center"/>
        </w:trPr>
        <w:tc>
          <w:tcPr>
            <w:tcW w:w="0" w:type="auto"/>
            <w:vMerge/>
            <w:hideMark/>
          </w:tcPr>
          <w:p w:rsidR="00982801" w:rsidRPr="00B21EF2" w:rsidRDefault="00982801" w:rsidP="00982801">
            <w:pPr>
              <w:rPr>
                <w:rFonts w:asciiTheme="majorBidi" w:eastAsia="Times New Roman" w:hAnsiTheme="majorBidi" w:cstheme="majorBidi"/>
                <w:b/>
                <w:bCs/>
                <w:sz w:val="36"/>
                <w:szCs w:val="36"/>
              </w:rPr>
            </w:pPr>
          </w:p>
        </w:tc>
        <w:tc>
          <w:tcPr>
            <w:tcW w:w="1099" w:type="dxa"/>
            <w:hideMark/>
          </w:tcPr>
          <w:p w:rsidR="00982801" w:rsidRPr="00B21EF2" w:rsidRDefault="00982801" w:rsidP="00982801">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QPSK</w:t>
            </w:r>
          </w:p>
        </w:tc>
        <w:tc>
          <w:tcPr>
            <w:tcW w:w="1278"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8.2</w:t>
            </w:r>
          </w:p>
        </w:tc>
        <w:tc>
          <w:tcPr>
            <w:tcW w:w="14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9.4</w:t>
            </w:r>
          </w:p>
        </w:tc>
        <w:tc>
          <w:tcPr>
            <w:tcW w:w="1297"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10.7</w:t>
            </w:r>
          </w:p>
        </w:tc>
        <w:tc>
          <w:tcPr>
            <w:tcW w:w="13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12.9</w:t>
            </w:r>
          </w:p>
        </w:tc>
      </w:tr>
      <w:tr w:rsidR="00982801" w:rsidRPr="00B21EF2" w:rsidTr="000C2F23">
        <w:trPr>
          <w:jc w:val="center"/>
        </w:trPr>
        <w:tc>
          <w:tcPr>
            <w:tcW w:w="0" w:type="auto"/>
            <w:vMerge/>
            <w:hideMark/>
          </w:tcPr>
          <w:p w:rsidR="00982801" w:rsidRPr="00B21EF2" w:rsidRDefault="00982801" w:rsidP="00982801">
            <w:pPr>
              <w:rPr>
                <w:rFonts w:asciiTheme="majorBidi" w:eastAsia="Times New Roman" w:hAnsiTheme="majorBidi" w:cstheme="majorBidi"/>
                <w:b/>
                <w:bCs/>
                <w:sz w:val="36"/>
                <w:szCs w:val="36"/>
              </w:rPr>
            </w:pPr>
          </w:p>
        </w:tc>
        <w:tc>
          <w:tcPr>
            <w:tcW w:w="1099" w:type="dxa"/>
            <w:hideMark/>
          </w:tcPr>
          <w:p w:rsidR="00982801" w:rsidRPr="00B21EF2" w:rsidRDefault="00982801" w:rsidP="00982801">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16QAM</w:t>
            </w:r>
          </w:p>
        </w:tc>
        <w:tc>
          <w:tcPr>
            <w:tcW w:w="1278"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9.3</w:t>
            </w:r>
          </w:p>
        </w:tc>
        <w:tc>
          <w:tcPr>
            <w:tcW w:w="14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10.3</w:t>
            </w:r>
          </w:p>
        </w:tc>
        <w:tc>
          <w:tcPr>
            <w:tcW w:w="1297"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10.9</w:t>
            </w:r>
          </w:p>
        </w:tc>
        <w:tc>
          <w:tcPr>
            <w:tcW w:w="13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12.9</w:t>
            </w:r>
          </w:p>
        </w:tc>
      </w:tr>
      <w:tr w:rsidR="00982801" w:rsidRPr="00B21EF2" w:rsidTr="000C2F23">
        <w:trPr>
          <w:jc w:val="center"/>
        </w:trPr>
        <w:tc>
          <w:tcPr>
            <w:tcW w:w="0" w:type="auto"/>
            <w:vMerge/>
            <w:hideMark/>
          </w:tcPr>
          <w:p w:rsidR="00982801" w:rsidRPr="00B21EF2" w:rsidRDefault="00982801" w:rsidP="00982801">
            <w:pPr>
              <w:rPr>
                <w:rFonts w:asciiTheme="majorBidi" w:eastAsia="Times New Roman" w:hAnsiTheme="majorBidi" w:cstheme="majorBidi"/>
                <w:b/>
                <w:bCs/>
                <w:sz w:val="36"/>
                <w:szCs w:val="36"/>
              </w:rPr>
            </w:pPr>
          </w:p>
        </w:tc>
        <w:tc>
          <w:tcPr>
            <w:tcW w:w="1099" w:type="dxa"/>
            <w:hideMark/>
          </w:tcPr>
          <w:p w:rsidR="00982801" w:rsidRPr="00B21EF2" w:rsidRDefault="00982801" w:rsidP="00982801">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64QAM</w:t>
            </w:r>
          </w:p>
        </w:tc>
        <w:tc>
          <w:tcPr>
            <w:tcW w:w="1278"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9.8</w:t>
            </w:r>
          </w:p>
        </w:tc>
        <w:tc>
          <w:tcPr>
            <w:tcW w:w="14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10.6</w:t>
            </w:r>
          </w:p>
        </w:tc>
        <w:tc>
          <w:tcPr>
            <w:tcW w:w="1297"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11.5</w:t>
            </w:r>
          </w:p>
        </w:tc>
        <w:tc>
          <w:tcPr>
            <w:tcW w:w="13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12.9</w:t>
            </w:r>
          </w:p>
        </w:tc>
      </w:tr>
      <w:tr w:rsidR="00982801" w:rsidRPr="00B21EF2" w:rsidTr="000C2F23">
        <w:trPr>
          <w:jc w:val="center"/>
        </w:trPr>
        <w:tc>
          <w:tcPr>
            <w:tcW w:w="1614" w:type="dxa"/>
            <w:vMerge w:val="restart"/>
            <w:hideMark/>
          </w:tcPr>
          <w:p w:rsidR="00982801" w:rsidRPr="00B21EF2" w:rsidRDefault="00982801" w:rsidP="00982801">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CP-OFDM</w:t>
            </w:r>
          </w:p>
        </w:tc>
        <w:tc>
          <w:tcPr>
            <w:tcW w:w="1099" w:type="dxa"/>
            <w:hideMark/>
          </w:tcPr>
          <w:p w:rsidR="00982801" w:rsidRPr="00B21EF2" w:rsidRDefault="00982801" w:rsidP="00982801">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QPSK</w:t>
            </w:r>
          </w:p>
        </w:tc>
        <w:tc>
          <w:tcPr>
            <w:tcW w:w="1278" w:type="dxa"/>
            <w:hideMark/>
          </w:tcPr>
          <w:p w:rsidR="00982801" w:rsidRPr="00B21EF2" w:rsidRDefault="00982801" w:rsidP="00982801">
            <w:pPr>
              <w:rPr>
                <w:rFonts w:asciiTheme="majorBidi" w:eastAsiaTheme="minorEastAsia" w:hAnsiTheme="majorBidi" w:cstheme="majorBidi"/>
                <w:b/>
                <w:bCs/>
                <w:color w:val="0070C0"/>
                <w:kern w:val="24"/>
                <w:sz w:val="20"/>
                <w:szCs w:val="20"/>
              </w:rPr>
            </w:pPr>
            <w:r w:rsidRPr="00B21EF2">
              <w:rPr>
                <w:rFonts w:asciiTheme="majorBidi" w:eastAsiaTheme="minorEastAsia" w:hAnsiTheme="majorBidi" w:cstheme="majorBidi"/>
                <w:b/>
                <w:bCs/>
                <w:color w:val="0070C0"/>
                <w:kern w:val="24"/>
                <w:sz w:val="20"/>
                <w:szCs w:val="20"/>
              </w:rPr>
              <w:t>12.2</w:t>
            </w:r>
          </w:p>
        </w:tc>
        <w:tc>
          <w:tcPr>
            <w:tcW w:w="14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12.4</w:t>
            </w:r>
          </w:p>
        </w:tc>
        <w:tc>
          <w:tcPr>
            <w:tcW w:w="1297"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14.3</w:t>
            </w:r>
          </w:p>
        </w:tc>
        <w:tc>
          <w:tcPr>
            <w:tcW w:w="13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16.8</w:t>
            </w:r>
          </w:p>
        </w:tc>
      </w:tr>
      <w:tr w:rsidR="00982801" w:rsidRPr="00B21EF2" w:rsidTr="000C2F23">
        <w:trPr>
          <w:jc w:val="center"/>
        </w:trPr>
        <w:tc>
          <w:tcPr>
            <w:tcW w:w="0" w:type="auto"/>
            <w:vMerge/>
            <w:hideMark/>
          </w:tcPr>
          <w:p w:rsidR="00982801" w:rsidRPr="00B21EF2" w:rsidRDefault="00982801" w:rsidP="00982801">
            <w:pPr>
              <w:rPr>
                <w:rFonts w:asciiTheme="majorBidi" w:eastAsia="Times New Roman" w:hAnsiTheme="majorBidi" w:cstheme="majorBidi"/>
                <w:b/>
                <w:bCs/>
                <w:sz w:val="36"/>
                <w:szCs w:val="36"/>
              </w:rPr>
            </w:pPr>
          </w:p>
        </w:tc>
        <w:tc>
          <w:tcPr>
            <w:tcW w:w="1099" w:type="dxa"/>
            <w:hideMark/>
          </w:tcPr>
          <w:p w:rsidR="00982801" w:rsidRPr="00B21EF2" w:rsidRDefault="00982801" w:rsidP="00982801">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16QAM</w:t>
            </w:r>
          </w:p>
        </w:tc>
        <w:tc>
          <w:tcPr>
            <w:tcW w:w="1278" w:type="dxa"/>
            <w:hideMark/>
          </w:tcPr>
          <w:p w:rsidR="00982801" w:rsidRPr="00B21EF2" w:rsidRDefault="00982801" w:rsidP="00982801">
            <w:pPr>
              <w:rPr>
                <w:rFonts w:asciiTheme="majorBidi" w:eastAsiaTheme="minorEastAsia" w:hAnsiTheme="majorBidi" w:cstheme="majorBidi"/>
                <w:b/>
                <w:bCs/>
                <w:color w:val="0070C0"/>
                <w:kern w:val="24"/>
                <w:sz w:val="20"/>
                <w:szCs w:val="20"/>
              </w:rPr>
            </w:pPr>
            <w:r w:rsidRPr="00B21EF2">
              <w:rPr>
                <w:rFonts w:asciiTheme="majorBidi" w:eastAsiaTheme="minorEastAsia" w:hAnsiTheme="majorBidi" w:cstheme="majorBidi"/>
                <w:b/>
                <w:bCs/>
                <w:color w:val="0070C0"/>
                <w:kern w:val="24"/>
                <w:sz w:val="20"/>
                <w:szCs w:val="20"/>
              </w:rPr>
              <w:t>12.2</w:t>
            </w:r>
          </w:p>
        </w:tc>
        <w:tc>
          <w:tcPr>
            <w:tcW w:w="14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12.4</w:t>
            </w:r>
          </w:p>
        </w:tc>
        <w:tc>
          <w:tcPr>
            <w:tcW w:w="1297"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14.3</w:t>
            </w:r>
          </w:p>
        </w:tc>
        <w:tc>
          <w:tcPr>
            <w:tcW w:w="13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16.8</w:t>
            </w:r>
          </w:p>
        </w:tc>
      </w:tr>
      <w:tr w:rsidR="00982801" w:rsidRPr="00B21EF2" w:rsidTr="000C2F23">
        <w:trPr>
          <w:jc w:val="center"/>
        </w:trPr>
        <w:tc>
          <w:tcPr>
            <w:tcW w:w="0" w:type="auto"/>
            <w:vMerge/>
            <w:hideMark/>
          </w:tcPr>
          <w:p w:rsidR="00982801" w:rsidRPr="00B21EF2" w:rsidRDefault="00982801" w:rsidP="00982801">
            <w:pPr>
              <w:rPr>
                <w:rFonts w:asciiTheme="majorBidi" w:eastAsia="Times New Roman" w:hAnsiTheme="majorBidi" w:cstheme="majorBidi"/>
                <w:b/>
                <w:bCs/>
                <w:sz w:val="36"/>
                <w:szCs w:val="36"/>
              </w:rPr>
            </w:pPr>
          </w:p>
        </w:tc>
        <w:tc>
          <w:tcPr>
            <w:tcW w:w="1099" w:type="dxa"/>
            <w:hideMark/>
          </w:tcPr>
          <w:p w:rsidR="00982801" w:rsidRPr="00B21EF2" w:rsidRDefault="00982801" w:rsidP="00982801">
            <w:pPr>
              <w:rPr>
                <w:rFonts w:asciiTheme="majorBidi" w:eastAsia="Times New Roman" w:hAnsiTheme="majorBidi" w:cstheme="majorBidi"/>
                <w:b/>
                <w:bCs/>
                <w:sz w:val="36"/>
                <w:szCs w:val="36"/>
              </w:rPr>
            </w:pPr>
            <w:r w:rsidRPr="00B21EF2">
              <w:rPr>
                <w:rFonts w:asciiTheme="majorBidi" w:eastAsiaTheme="minorEastAsia" w:hAnsiTheme="majorBidi" w:cstheme="majorBidi"/>
                <w:b/>
                <w:bCs/>
                <w:color w:val="000000" w:themeColor="dark1"/>
                <w:kern w:val="24"/>
                <w:sz w:val="20"/>
                <w:szCs w:val="20"/>
              </w:rPr>
              <w:t>64QAM</w:t>
            </w:r>
          </w:p>
        </w:tc>
        <w:tc>
          <w:tcPr>
            <w:tcW w:w="1278" w:type="dxa"/>
            <w:hideMark/>
          </w:tcPr>
          <w:p w:rsidR="00982801" w:rsidRPr="00B21EF2" w:rsidRDefault="00982801" w:rsidP="00982801">
            <w:pPr>
              <w:rPr>
                <w:rFonts w:asciiTheme="majorBidi" w:eastAsiaTheme="minorEastAsia" w:hAnsiTheme="majorBidi" w:cstheme="majorBidi"/>
                <w:b/>
                <w:bCs/>
                <w:color w:val="0070C0"/>
                <w:kern w:val="24"/>
                <w:sz w:val="20"/>
                <w:szCs w:val="20"/>
              </w:rPr>
            </w:pPr>
            <w:r w:rsidRPr="00B21EF2">
              <w:rPr>
                <w:rFonts w:asciiTheme="majorBidi" w:eastAsiaTheme="minorEastAsia" w:hAnsiTheme="majorBidi" w:cstheme="majorBidi"/>
                <w:b/>
                <w:bCs/>
                <w:color w:val="0070C0"/>
                <w:kern w:val="24"/>
                <w:sz w:val="20"/>
                <w:szCs w:val="20"/>
              </w:rPr>
              <w:t>12.2</w:t>
            </w:r>
          </w:p>
        </w:tc>
        <w:tc>
          <w:tcPr>
            <w:tcW w:w="14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12.4</w:t>
            </w:r>
          </w:p>
        </w:tc>
        <w:tc>
          <w:tcPr>
            <w:tcW w:w="1297"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14.3</w:t>
            </w:r>
          </w:p>
        </w:tc>
        <w:tc>
          <w:tcPr>
            <w:tcW w:w="1316" w:type="dxa"/>
            <w:hideMark/>
          </w:tcPr>
          <w:p w:rsidR="00982801" w:rsidRPr="00B21EF2" w:rsidRDefault="00982801" w:rsidP="00982801">
            <w:pPr>
              <w:pStyle w:val="NormalWeb"/>
              <w:spacing w:before="0" w:beforeAutospacing="0" w:after="0" w:afterAutospacing="0"/>
              <w:rPr>
                <w:rFonts w:asciiTheme="majorBidi" w:hAnsiTheme="majorBidi" w:cstheme="majorBidi"/>
                <w:b/>
                <w:bCs/>
                <w:sz w:val="36"/>
                <w:szCs w:val="36"/>
              </w:rPr>
            </w:pPr>
            <w:r w:rsidRPr="00B21EF2">
              <w:rPr>
                <w:rFonts w:asciiTheme="majorBidi" w:eastAsiaTheme="minorEastAsia" w:hAnsiTheme="majorBidi" w:cstheme="majorBidi"/>
                <w:b/>
                <w:bCs/>
                <w:color w:val="FF0000"/>
                <w:kern w:val="24"/>
                <w:sz w:val="20"/>
                <w:szCs w:val="20"/>
              </w:rPr>
              <w:t>16.8</w:t>
            </w:r>
          </w:p>
        </w:tc>
      </w:tr>
    </w:tbl>
    <w:p w:rsidR="00073178" w:rsidRPr="00B21EF2" w:rsidRDefault="00073178" w:rsidP="00073178">
      <w:pPr>
        <w:rPr>
          <w:rFonts w:asciiTheme="majorBidi" w:hAnsiTheme="majorBidi" w:cstheme="majorBidi"/>
        </w:rPr>
      </w:pPr>
    </w:p>
    <w:p w:rsidR="002A0B81" w:rsidRPr="00B21EF2" w:rsidRDefault="002A0B81" w:rsidP="00587524">
      <w:pPr>
        <w:jc w:val="both"/>
        <w:rPr>
          <w:rFonts w:asciiTheme="majorBidi" w:hAnsiTheme="majorBidi" w:cstheme="majorBidi"/>
        </w:rPr>
      </w:pPr>
      <w:r w:rsidRPr="00B21EF2">
        <w:rPr>
          <w:rFonts w:asciiTheme="majorBidi" w:hAnsiTheme="majorBidi" w:cstheme="majorBidi"/>
        </w:rPr>
        <w:t>From table 1 and table 2, we have the following observation:</w:t>
      </w:r>
    </w:p>
    <w:p w:rsidR="0071343F" w:rsidRPr="00B21EF2" w:rsidRDefault="005A143D" w:rsidP="00CE6F54">
      <w:pPr>
        <w:jc w:val="both"/>
        <w:rPr>
          <w:rFonts w:asciiTheme="majorBidi" w:hAnsiTheme="majorBidi" w:cstheme="majorBidi"/>
          <w:b/>
          <w:bCs/>
        </w:rPr>
      </w:pPr>
      <w:r w:rsidRPr="00B21EF2">
        <w:rPr>
          <w:rFonts w:asciiTheme="majorBidi" w:hAnsiTheme="majorBidi" w:cstheme="majorBidi"/>
          <w:b/>
          <w:bCs/>
          <w:u w:val="single"/>
        </w:rPr>
        <w:t xml:space="preserve">Observation </w:t>
      </w:r>
      <w:r w:rsidR="00CE6F54" w:rsidRPr="00B21EF2">
        <w:rPr>
          <w:rFonts w:asciiTheme="majorBidi" w:hAnsiTheme="majorBidi" w:cstheme="majorBidi"/>
          <w:b/>
          <w:bCs/>
          <w:u w:val="single"/>
        </w:rPr>
        <w:t>2</w:t>
      </w:r>
      <w:r w:rsidRPr="00B21EF2">
        <w:rPr>
          <w:rFonts w:asciiTheme="majorBidi" w:hAnsiTheme="majorBidi" w:cstheme="majorBidi"/>
          <w:b/>
          <w:bCs/>
        </w:rPr>
        <w:t xml:space="preserve">: </w:t>
      </w:r>
      <w:r w:rsidR="00F961F6" w:rsidRPr="00B21EF2">
        <w:rPr>
          <w:rFonts w:asciiTheme="majorBidi" w:hAnsiTheme="majorBidi" w:cstheme="majorBidi"/>
          <w:b/>
          <w:bCs/>
        </w:rPr>
        <w:t>With different DMRS sequences</w:t>
      </w:r>
      <w:r w:rsidRPr="00B21EF2">
        <w:rPr>
          <w:rFonts w:asciiTheme="majorBidi" w:hAnsiTheme="majorBidi" w:cstheme="majorBidi"/>
          <w:b/>
          <w:bCs/>
        </w:rPr>
        <w:t xml:space="preserve"> among CCs,</w:t>
      </w:r>
    </w:p>
    <w:p w:rsidR="0071343F" w:rsidRPr="00B21EF2" w:rsidRDefault="00F961F6" w:rsidP="00587524">
      <w:pPr>
        <w:numPr>
          <w:ilvl w:val="0"/>
          <w:numId w:val="3"/>
        </w:numPr>
        <w:jc w:val="both"/>
        <w:rPr>
          <w:rFonts w:asciiTheme="majorBidi" w:hAnsiTheme="majorBidi" w:cstheme="majorBidi"/>
          <w:b/>
          <w:bCs/>
        </w:rPr>
      </w:pPr>
      <w:r w:rsidRPr="00B21EF2">
        <w:rPr>
          <w:rFonts w:asciiTheme="majorBidi" w:hAnsiTheme="majorBidi" w:cstheme="majorBidi"/>
          <w:b/>
          <w:bCs/>
        </w:rPr>
        <w:t>PAPR of CA DFT-S-OFDM with 400MHz aggregated BW can be upper bounded by PAPR of single CC CP-OFDM 400MHz.</w:t>
      </w:r>
    </w:p>
    <w:p w:rsidR="0071343F" w:rsidRPr="00B21EF2" w:rsidRDefault="00F961F6" w:rsidP="004840B7">
      <w:pPr>
        <w:numPr>
          <w:ilvl w:val="0"/>
          <w:numId w:val="3"/>
        </w:numPr>
        <w:jc w:val="both"/>
        <w:rPr>
          <w:rFonts w:asciiTheme="majorBidi" w:hAnsiTheme="majorBidi" w:cstheme="majorBidi"/>
          <w:b/>
          <w:bCs/>
        </w:rPr>
      </w:pPr>
      <w:r w:rsidRPr="00B21EF2">
        <w:rPr>
          <w:rFonts w:asciiTheme="majorBidi" w:hAnsiTheme="majorBidi" w:cstheme="majorBidi"/>
          <w:b/>
          <w:bCs/>
        </w:rPr>
        <w:t xml:space="preserve">PAPR of CA CP-OFDM with 400MHz aggregated BW is </w:t>
      </w:r>
      <w:r w:rsidR="00066A83">
        <w:rPr>
          <w:rFonts w:asciiTheme="majorBidi" w:hAnsiTheme="majorBidi" w:cstheme="majorBidi"/>
          <w:b/>
          <w:bCs/>
        </w:rPr>
        <w:t>close to</w:t>
      </w:r>
      <w:r w:rsidRPr="00B21EF2">
        <w:rPr>
          <w:rFonts w:asciiTheme="majorBidi" w:hAnsiTheme="majorBidi" w:cstheme="majorBidi"/>
          <w:b/>
          <w:bCs/>
        </w:rPr>
        <w:t xml:space="preserve"> PAPR of single CC CP-OFDM 400MHz</w:t>
      </w:r>
      <w:r w:rsidR="005A143D" w:rsidRPr="00B21EF2">
        <w:rPr>
          <w:rFonts w:asciiTheme="majorBidi" w:hAnsiTheme="majorBidi" w:cstheme="majorBidi"/>
          <w:b/>
          <w:bCs/>
        </w:rPr>
        <w:t xml:space="preserve"> (difference is ≤ 0.6dB)</w:t>
      </w:r>
      <w:r w:rsidRPr="00B21EF2">
        <w:rPr>
          <w:rFonts w:asciiTheme="majorBidi" w:hAnsiTheme="majorBidi" w:cstheme="majorBidi"/>
          <w:b/>
          <w:bCs/>
        </w:rPr>
        <w:t>.</w:t>
      </w:r>
    </w:p>
    <w:p w:rsidR="005A143D" w:rsidRPr="00B21EF2" w:rsidRDefault="005A143D" w:rsidP="00CE6F54">
      <w:pPr>
        <w:jc w:val="both"/>
        <w:rPr>
          <w:rFonts w:asciiTheme="majorBidi" w:hAnsiTheme="majorBidi" w:cstheme="majorBidi"/>
          <w:b/>
          <w:bCs/>
        </w:rPr>
      </w:pPr>
      <w:r w:rsidRPr="00B21EF2">
        <w:rPr>
          <w:rFonts w:asciiTheme="majorBidi" w:hAnsiTheme="majorBidi" w:cstheme="majorBidi"/>
          <w:b/>
          <w:bCs/>
          <w:u w:val="single"/>
        </w:rPr>
        <w:t xml:space="preserve">Observation </w:t>
      </w:r>
      <w:r w:rsidR="00CE6F54" w:rsidRPr="00B21EF2">
        <w:rPr>
          <w:rFonts w:asciiTheme="majorBidi" w:hAnsiTheme="majorBidi" w:cstheme="majorBidi"/>
          <w:b/>
          <w:bCs/>
          <w:u w:val="single"/>
        </w:rPr>
        <w:t>3</w:t>
      </w:r>
      <w:r w:rsidRPr="00B21EF2">
        <w:rPr>
          <w:rFonts w:asciiTheme="majorBidi" w:hAnsiTheme="majorBidi" w:cstheme="majorBidi"/>
          <w:b/>
          <w:bCs/>
        </w:rPr>
        <w:t xml:space="preserve">: With same DMRS </w:t>
      </w:r>
      <w:r w:rsidR="00716744" w:rsidRPr="00B21EF2">
        <w:rPr>
          <w:rFonts w:asciiTheme="majorBidi" w:hAnsiTheme="majorBidi" w:cstheme="majorBidi"/>
          <w:b/>
          <w:bCs/>
        </w:rPr>
        <w:t xml:space="preserve">sequence </w:t>
      </w:r>
      <w:r w:rsidRPr="00B21EF2">
        <w:rPr>
          <w:rFonts w:asciiTheme="majorBidi" w:hAnsiTheme="majorBidi" w:cstheme="majorBidi"/>
          <w:b/>
          <w:bCs/>
        </w:rPr>
        <w:t>within CCs,</w:t>
      </w:r>
    </w:p>
    <w:p w:rsidR="005A143D" w:rsidRPr="00B21EF2" w:rsidRDefault="005A143D" w:rsidP="00587524">
      <w:pPr>
        <w:pStyle w:val="ListParagraph"/>
        <w:numPr>
          <w:ilvl w:val="0"/>
          <w:numId w:val="4"/>
        </w:numPr>
        <w:jc w:val="both"/>
        <w:rPr>
          <w:rFonts w:asciiTheme="majorBidi" w:eastAsiaTheme="minorHAnsi" w:hAnsiTheme="majorBidi" w:cstheme="majorBidi"/>
          <w:b/>
          <w:bCs/>
          <w:sz w:val="22"/>
          <w:szCs w:val="22"/>
        </w:rPr>
      </w:pPr>
      <w:r w:rsidRPr="00B21EF2">
        <w:rPr>
          <w:rFonts w:asciiTheme="majorBidi" w:eastAsiaTheme="minorHAnsi" w:hAnsiTheme="majorBidi" w:cstheme="majorBidi"/>
          <w:b/>
          <w:bCs/>
          <w:sz w:val="22"/>
          <w:szCs w:val="22"/>
        </w:rPr>
        <w:t>PAPR of DFT-S-OFDM 8x50MHz is greater than PAPR of single CC CP-OFDM 400MHz.</w:t>
      </w:r>
    </w:p>
    <w:p w:rsidR="005A143D" w:rsidRPr="00B21EF2" w:rsidRDefault="005A143D" w:rsidP="00587524">
      <w:pPr>
        <w:pStyle w:val="ListParagraph"/>
        <w:numPr>
          <w:ilvl w:val="0"/>
          <w:numId w:val="4"/>
        </w:numPr>
        <w:jc w:val="both"/>
        <w:rPr>
          <w:rFonts w:asciiTheme="majorBidi" w:eastAsiaTheme="minorHAnsi" w:hAnsiTheme="majorBidi" w:cstheme="majorBidi"/>
          <w:b/>
          <w:bCs/>
          <w:sz w:val="22"/>
          <w:szCs w:val="22"/>
        </w:rPr>
      </w:pPr>
      <w:r w:rsidRPr="00B21EF2">
        <w:rPr>
          <w:rFonts w:asciiTheme="majorBidi" w:eastAsiaTheme="minorHAnsi" w:hAnsiTheme="majorBidi" w:cstheme="majorBidi"/>
          <w:b/>
          <w:bCs/>
          <w:sz w:val="22"/>
          <w:szCs w:val="22"/>
        </w:rPr>
        <w:t>PAPR of CP-OFDM 4x100MHz and PAPR of CP-OFDM 8x50MHz are much greater than PAPR of single CC CP-OFDM 400MHz.</w:t>
      </w:r>
    </w:p>
    <w:p w:rsidR="005A143D" w:rsidRPr="00B21EF2" w:rsidRDefault="005A143D" w:rsidP="005A143D">
      <w:pPr>
        <w:rPr>
          <w:rFonts w:asciiTheme="majorBidi" w:hAnsiTheme="majorBidi" w:cstheme="majorBidi"/>
          <w:b/>
          <w:bCs/>
        </w:rPr>
      </w:pPr>
    </w:p>
    <w:p w:rsidR="00CA7658" w:rsidRPr="00B21EF2" w:rsidRDefault="00716744" w:rsidP="00EB5F8E">
      <w:pPr>
        <w:jc w:val="both"/>
        <w:rPr>
          <w:rFonts w:asciiTheme="majorBidi" w:hAnsiTheme="majorBidi" w:cstheme="majorBidi"/>
          <w:b/>
          <w:bCs/>
        </w:rPr>
      </w:pPr>
      <w:r w:rsidRPr="00B21EF2">
        <w:rPr>
          <w:rFonts w:asciiTheme="majorBidi" w:hAnsiTheme="majorBidi" w:cstheme="majorBidi"/>
        </w:rPr>
        <w:t>From above observations, with different DMRS sequences among CCs, MPR of single CC CP-OFDM 400MHz can be reused for CA MPR contiguous allocation with aggregated bandwidth ≤ 400MHz. However, with same DMRS sequence within CCs, MPR of single CC CP-OFDM 400MHz cannot be reused for CA MPR contiguous allocation with aggregated bandwidth ≤ 400MHz aggregated.</w:t>
      </w:r>
    </w:p>
    <w:p w:rsidR="005A143D" w:rsidRPr="00B21EF2" w:rsidRDefault="005A143D" w:rsidP="005A143D">
      <w:pPr>
        <w:rPr>
          <w:rFonts w:asciiTheme="majorBidi" w:hAnsiTheme="majorBidi" w:cstheme="majorBidi"/>
        </w:rPr>
      </w:pPr>
    </w:p>
    <w:p w:rsidR="0022093C" w:rsidRPr="00146B4F" w:rsidRDefault="0022093C" w:rsidP="0022093C">
      <w:pPr>
        <w:pStyle w:val="Heading1"/>
      </w:pPr>
      <w:r w:rsidRPr="00146B4F">
        <w:lastRenderedPageBreak/>
        <w:t>Conclusion</w:t>
      </w:r>
    </w:p>
    <w:p w:rsidR="005A143D" w:rsidRPr="00B21EF2" w:rsidRDefault="0022093C" w:rsidP="0022093C">
      <w:pPr>
        <w:jc w:val="both"/>
        <w:rPr>
          <w:rFonts w:asciiTheme="majorBidi" w:hAnsiTheme="majorBidi" w:cstheme="majorBidi"/>
        </w:rPr>
      </w:pPr>
      <w:r w:rsidRPr="00B21EF2">
        <w:rPr>
          <w:rFonts w:asciiTheme="majorBidi" w:hAnsiTheme="majorBidi" w:cstheme="majorBidi"/>
        </w:rPr>
        <w:t>In this paper, we provided our views on FR2 CA MPR enhancement for contiguous allocation by including 400MHz aggregated BW case in the first column of the CA MPR table for contiguou</w:t>
      </w:r>
      <w:r w:rsidR="009F33B2">
        <w:rPr>
          <w:rFonts w:asciiTheme="majorBidi" w:hAnsiTheme="majorBidi" w:cstheme="majorBidi"/>
        </w:rPr>
        <w:t>s allocation (&lt;= instead of &lt;)</w:t>
      </w:r>
      <w:r w:rsidRPr="00B21EF2">
        <w:rPr>
          <w:rFonts w:asciiTheme="majorBidi" w:hAnsiTheme="majorBidi" w:cstheme="majorBidi"/>
        </w:rPr>
        <w:t>. In summary we make the following observations:</w:t>
      </w:r>
    </w:p>
    <w:p w:rsidR="0022093C" w:rsidRPr="00B21EF2" w:rsidRDefault="00CE6F54" w:rsidP="004840B7">
      <w:pPr>
        <w:jc w:val="both"/>
        <w:rPr>
          <w:rFonts w:asciiTheme="majorBidi" w:hAnsiTheme="majorBidi" w:cstheme="majorBidi"/>
          <w:b/>
          <w:bCs/>
        </w:rPr>
      </w:pPr>
      <w:r w:rsidRPr="00B21EF2">
        <w:rPr>
          <w:rFonts w:asciiTheme="majorBidi" w:hAnsiTheme="majorBidi" w:cstheme="majorBidi"/>
          <w:b/>
          <w:bCs/>
          <w:u w:val="single"/>
        </w:rPr>
        <w:t>Observation 1</w:t>
      </w:r>
      <w:r w:rsidRPr="00B21EF2">
        <w:rPr>
          <w:rFonts w:asciiTheme="majorBidi" w:hAnsiTheme="majorBidi" w:cstheme="majorBidi"/>
          <w:b/>
          <w:bCs/>
        </w:rPr>
        <w:t xml:space="preserve">: DMRS sequence generation depends on higher layer parameters. For DFT-s-OFD, it is required that different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nor/>
              </m:rPr>
              <w:rPr>
                <w:rFonts w:asciiTheme="majorBidi" w:eastAsia="Times New Roman" w:hAnsiTheme="majorBidi" w:cstheme="majorBidi"/>
                <w:color w:val="000000"/>
                <w:kern w:val="24"/>
                <w:sz w:val="26"/>
                <w:szCs w:val="26"/>
              </w:rPr>
              <m:t>ID</m:t>
            </m:r>
          </m:sub>
          <m:sup>
            <m:r>
              <m:rPr>
                <m:nor/>
              </m:rPr>
              <w:rPr>
                <w:rFonts w:asciiTheme="majorBidi" w:eastAsia="Times New Roman" w:hAnsiTheme="majorBidi" w:cstheme="majorBidi"/>
                <w:color w:val="000000"/>
                <w:kern w:val="24"/>
                <w:sz w:val="26"/>
                <w:szCs w:val="26"/>
              </w:rPr>
              <m:t>RS</m:t>
            </m:r>
          </m:sup>
        </m:sSubSup>
      </m:oMath>
      <w:r w:rsidRPr="00B21EF2">
        <w:rPr>
          <w:rFonts w:asciiTheme="majorBidi" w:hAnsiTheme="majorBidi" w:cstheme="majorBidi"/>
          <w:b/>
          <w:bCs/>
        </w:rPr>
        <w:t xml:space="preserve"> parameters are configured (not necessarily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nor/>
              </m:rPr>
              <w:rPr>
                <w:rFonts w:asciiTheme="majorBidi" w:eastAsia="Times New Roman" w:hAnsiTheme="majorBidi" w:cstheme="majorBidi"/>
                <w:color w:val="000000"/>
                <w:kern w:val="24"/>
                <w:sz w:val="26"/>
                <w:szCs w:val="26"/>
              </w:rPr>
              <m:t>ID</m:t>
            </m:r>
          </m:sub>
          <m:sup>
            <m:r>
              <m:rPr>
                <m:nor/>
              </m:rPr>
              <w:rPr>
                <w:rFonts w:asciiTheme="majorBidi" w:eastAsia="Times New Roman" w:hAnsiTheme="majorBidi" w:cstheme="majorBidi"/>
                <w:color w:val="000000"/>
                <w:kern w:val="24"/>
                <w:sz w:val="26"/>
                <w:szCs w:val="26"/>
              </w:rPr>
              <m:t>cell</m:t>
            </m:r>
          </m:sup>
        </m:sSubSup>
      </m:oMath>
      <w:r w:rsidRPr="00B21EF2">
        <w:rPr>
          <w:rFonts w:asciiTheme="majorBidi" w:hAnsiTheme="majorBidi" w:cstheme="majorBidi"/>
          <w:b/>
          <w:bCs/>
        </w:rPr>
        <w:t xml:space="preserve">) to have different DMRS sequences among CCs. For CP-OFDM, it is required that different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sty m:val="p"/>
              </m:rPr>
              <w:rPr>
                <w:rFonts w:ascii="Cambria Math" w:eastAsia="Times New Roman" w:hAnsi="Cambria Math" w:cstheme="majorBidi"/>
                <w:color w:val="000000"/>
                <w:kern w:val="24"/>
                <w:sz w:val="26"/>
                <w:szCs w:val="26"/>
              </w:rPr>
              <m:t>ID</m:t>
            </m:r>
          </m:sub>
          <m:sup>
            <m:sSub>
              <m:sSubPr>
                <m:ctrlPr>
                  <w:rPr>
                    <w:rFonts w:ascii="Cambria Math" w:eastAsia="Times New Roman" w:hAnsi="Cambria Math" w:cstheme="majorBidi"/>
                    <w:i/>
                    <w:iCs/>
                    <w:color w:val="000000"/>
                    <w:kern w:val="24"/>
                    <w:sz w:val="26"/>
                    <w:szCs w:val="26"/>
                  </w:rPr>
                </m:ctrlPr>
              </m:sSubPr>
              <m:e>
                <m:r>
                  <w:rPr>
                    <w:rFonts w:ascii="Cambria Math" w:eastAsia="Times New Roman" w:hAnsi="Cambria Math" w:cstheme="majorBidi"/>
                    <w:color w:val="000000"/>
                    <w:kern w:val="24"/>
                    <w:sz w:val="26"/>
                    <w:szCs w:val="26"/>
                  </w:rPr>
                  <m:t>n</m:t>
                </m:r>
              </m:e>
              <m:sub>
                <m:r>
                  <m:rPr>
                    <m:sty m:val="p"/>
                  </m:rPr>
                  <w:rPr>
                    <w:rFonts w:ascii="Cambria Math" w:eastAsia="Times New Roman" w:hAnsi="Cambria Math" w:cstheme="majorBidi"/>
                    <w:color w:val="000000"/>
                    <w:kern w:val="24"/>
                    <w:sz w:val="26"/>
                    <w:szCs w:val="26"/>
                  </w:rPr>
                  <m:t>SCID</m:t>
                </m:r>
              </m:sub>
            </m:sSub>
          </m:sup>
        </m:sSubSup>
      </m:oMath>
      <w:r w:rsidRPr="00B21EF2">
        <w:rPr>
          <w:rFonts w:asciiTheme="majorBidi" w:hAnsiTheme="majorBidi" w:cstheme="majorBidi"/>
          <w:b/>
          <w:bCs/>
        </w:rPr>
        <w:t xml:space="preserve"> parameters are configured (not necessarily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nor/>
              </m:rPr>
              <w:rPr>
                <w:rFonts w:asciiTheme="majorBidi" w:eastAsia="Times New Roman" w:hAnsiTheme="majorBidi" w:cstheme="majorBidi"/>
                <w:color w:val="000000"/>
                <w:kern w:val="24"/>
                <w:sz w:val="26"/>
                <w:szCs w:val="26"/>
              </w:rPr>
              <m:t>ID</m:t>
            </m:r>
          </m:sub>
          <m:sup>
            <m:r>
              <m:rPr>
                <m:nor/>
              </m:rPr>
              <w:rPr>
                <w:rFonts w:asciiTheme="majorBidi" w:eastAsia="Times New Roman" w:hAnsiTheme="majorBidi" w:cstheme="majorBidi"/>
                <w:color w:val="000000"/>
                <w:kern w:val="24"/>
                <w:sz w:val="26"/>
                <w:szCs w:val="26"/>
              </w:rPr>
              <m:t>cell</m:t>
            </m:r>
          </m:sup>
        </m:sSubSup>
      </m:oMath>
      <w:r w:rsidRPr="00B21EF2">
        <w:rPr>
          <w:rFonts w:asciiTheme="majorBidi" w:hAnsiTheme="majorBidi" w:cstheme="majorBidi"/>
          <w:b/>
          <w:bCs/>
        </w:rPr>
        <w:t xml:space="preserve">) to have different DMRS sequences among CCs. If cell IDs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nor/>
              </m:rPr>
              <w:rPr>
                <w:rFonts w:asciiTheme="majorBidi" w:eastAsia="Times New Roman" w:hAnsiTheme="majorBidi" w:cstheme="majorBidi"/>
                <w:color w:val="000000"/>
                <w:kern w:val="24"/>
                <w:sz w:val="26"/>
                <w:szCs w:val="26"/>
              </w:rPr>
              <m:t>ID</m:t>
            </m:r>
          </m:sub>
          <m:sup>
            <m:r>
              <m:rPr>
                <m:nor/>
              </m:rPr>
              <w:rPr>
                <w:rFonts w:asciiTheme="majorBidi" w:eastAsia="Times New Roman" w:hAnsiTheme="majorBidi" w:cstheme="majorBidi"/>
                <w:color w:val="000000"/>
                <w:kern w:val="24"/>
                <w:sz w:val="26"/>
                <w:szCs w:val="26"/>
              </w:rPr>
              <m:t>cell</m:t>
            </m:r>
          </m:sup>
        </m:sSubSup>
      </m:oMath>
      <w:r w:rsidRPr="00B21EF2">
        <w:rPr>
          <w:rFonts w:asciiTheme="majorBidi" w:hAnsiTheme="majorBidi" w:cstheme="majorBidi"/>
          <w:b/>
          <w:bCs/>
        </w:rPr>
        <w:t xml:space="preserve"> are different, it is not guaranteed that DMRS sequence used in CCs are different.</w:t>
      </w:r>
    </w:p>
    <w:p w:rsidR="0022093C" w:rsidRPr="00B21EF2" w:rsidRDefault="0022093C" w:rsidP="00CE6F54">
      <w:pPr>
        <w:jc w:val="both"/>
        <w:rPr>
          <w:rFonts w:asciiTheme="majorBidi" w:hAnsiTheme="majorBidi" w:cstheme="majorBidi"/>
          <w:b/>
          <w:bCs/>
        </w:rPr>
      </w:pPr>
      <w:r w:rsidRPr="00B21EF2">
        <w:rPr>
          <w:rFonts w:asciiTheme="majorBidi" w:hAnsiTheme="majorBidi" w:cstheme="majorBidi"/>
          <w:b/>
          <w:bCs/>
          <w:u w:val="single"/>
        </w:rPr>
        <w:t xml:space="preserve">Observation </w:t>
      </w:r>
      <w:r w:rsidR="00CE6F54" w:rsidRPr="00B21EF2">
        <w:rPr>
          <w:rFonts w:asciiTheme="majorBidi" w:hAnsiTheme="majorBidi" w:cstheme="majorBidi"/>
          <w:b/>
          <w:bCs/>
          <w:u w:val="single"/>
        </w:rPr>
        <w:t>2</w:t>
      </w:r>
      <w:r w:rsidRPr="00B21EF2">
        <w:rPr>
          <w:rFonts w:asciiTheme="majorBidi" w:hAnsiTheme="majorBidi" w:cstheme="majorBidi"/>
          <w:b/>
          <w:bCs/>
        </w:rPr>
        <w:t>: With different DMRS sequences among CCs,</w:t>
      </w:r>
    </w:p>
    <w:p w:rsidR="0022093C" w:rsidRPr="00B21EF2" w:rsidRDefault="0022093C" w:rsidP="0022093C">
      <w:pPr>
        <w:numPr>
          <w:ilvl w:val="0"/>
          <w:numId w:val="3"/>
        </w:numPr>
        <w:jc w:val="both"/>
        <w:rPr>
          <w:rFonts w:asciiTheme="majorBidi" w:hAnsiTheme="majorBidi" w:cstheme="majorBidi"/>
          <w:b/>
          <w:bCs/>
        </w:rPr>
      </w:pPr>
      <w:r w:rsidRPr="00B21EF2">
        <w:rPr>
          <w:rFonts w:asciiTheme="majorBidi" w:hAnsiTheme="majorBidi" w:cstheme="majorBidi"/>
          <w:b/>
          <w:bCs/>
        </w:rPr>
        <w:t>PAPR of CA DFT-S-OFDM with 400MHz aggregated BW can be upper bounded by PAPR of single CC CP-OFDM 400MHz.</w:t>
      </w:r>
    </w:p>
    <w:p w:rsidR="00066A83" w:rsidRPr="00B21EF2" w:rsidRDefault="00066A83" w:rsidP="004840B7">
      <w:pPr>
        <w:numPr>
          <w:ilvl w:val="0"/>
          <w:numId w:val="3"/>
        </w:numPr>
        <w:jc w:val="both"/>
        <w:rPr>
          <w:rFonts w:asciiTheme="majorBidi" w:hAnsiTheme="majorBidi" w:cstheme="majorBidi"/>
          <w:b/>
          <w:bCs/>
        </w:rPr>
      </w:pPr>
      <w:r w:rsidRPr="00B21EF2">
        <w:rPr>
          <w:rFonts w:asciiTheme="majorBidi" w:hAnsiTheme="majorBidi" w:cstheme="majorBidi"/>
          <w:b/>
          <w:bCs/>
        </w:rPr>
        <w:t xml:space="preserve">PAPR of CA CP-OFDM with 400MHz aggregated BW is </w:t>
      </w:r>
      <w:r>
        <w:rPr>
          <w:rFonts w:asciiTheme="majorBidi" w:hAnsiTheme="majorBidi" w:cstheme="majorBidi"/>
          <w:b/>
          <w:bCs/>
        </w:rPr>
        <w:t>close to</w:t>
      </w:r>
      <w:r w:rsidRPr="00B21EF2">
        <w:rPr>
          <w:rFonts w:asciiTheme="majorBidi" w:hAnsiTheme="majorBidi" w:cstheme="majorBidi"/>
          <w:b/>
          <w:bCs/>
        </w:rPr>
        <w:t xml:space="preserve"> PAPR of single CC CP-OFDM 400MHz (difference is ≤ 0.6dB).</w:t>
      </w:r>
    </w:p>
    <w:p w:rsidR="0022093C" w:rsidRPr="00B21EF2" w:rsidRDefault="0022093C" w:rsidP="00CE6F54">
      <w:pPr>
        <w:jc w:val="both"/>
        <w:rPr>
          <w:rFonts w:asciiTheme="majorBidi" w:hAnsiTheme="majorBidi" w:cstheme="majorBidi"/>
          <w:b/>
          <w:bCs/>
        </w:rPr>
      </w:pPr>
      <w:r w:rsidRPr="00B21EF2">
        <w:rPr>
          <w:rFonts w:asciiTheme="majorBidi" w:hAnsiTheme="majorBidi" w:cstheme="majorBidi"/>
          <w:b/>
          <w:bCs/>
          <w:u w:val="single"/>
        </w:rPr>
        <w:t xml:space="preserve">Observation </w:t>
      </w:r>
      <w:r w:rsidR="00CE6F54" w:rsidRPr="00B21EF2">
        <w:rPr>
          <w:rFonts w:asciiTheme="majorBidi" w:hAnsiTheme="majorBidi" w:cstheme="majorBidi"/>
          <w:b/>
          <w:bCs/>
          <w:u w:val="single"/>
        </w:rPr>
        <w:t>3</w:t>
      </w:r>
      <w:r w:rsidRPr="00B21EF2">
        <w:rPr>
          <w:rFonts w:asciiTheme="majorBidi" w:hAnsiTheme="majorBidi" w:cstheme="majorBidi"/>
          <w:b/>
          <w:bCs/>
        </w:rPr>
        <w:t>: With same DMRS sequence within CCs,</w:t>
      </w:r>
    </w:p>
    <w:p w:rsidR="0022093C" w:rsidRPr="00B21EF2" w:rsidRDefault="0022093C" w:rsidP="0022093C">
      <w:pPr>
        <w:pStyle w:val="ListParagraph"/>
        <w:numPr>
          <w:ilvl w:val="0"/>
          <w:numId w:val="4"/>
        </w:numPr>
        <w:jc w:val="both"/>
        <w:rPr>
          <w:rFonts w:asciiTheme="majorBidi" w:eastAsiaTheme="minorHAnsi" w:hAnsiTheme="majorBidi" w:cstheme="majorBidi"/>
          <w:b/>
          <w:bCs/>
          <w:sz w:val="22"/>
          <w:szCs w:val="22"/>
        </w:rPr>
      </w:pPr>
      <w:r w:rsidRPr="00B21EF2">
        <w:rPr>
          <w:rFonts w:asciiTheme="majorBidi" w:eastAsiaTheme="minorHAnsi" w:hAnsiTheme="majorBidi" w:cstheme="majorBidi"/>
          <w:b/>
          <w:bCs/>
          <w:sz w:val="22"/>
          <w:szCs w:val="22"/>
        </w:rPr>
        <w:t>PAPR of DFT-S-OFDM 8x50MHz is greater than PAPR of single CC CP-OFDM 400MHz.</w:t>
      </w:r>
    </w:p>
    <w:p w:rsidR="0022093C" w:rsidRPr="00B21EF2" w:rsidRDefault="0022093C" w:rsidP="0022093C">
      <w:pPr>
        <w:pStyle w:val="ListParagraph"/>
        <w:numPr>
          <w:ilvl w:val="0"/>
          <w:numId w:val="4"/>
        </w:numPr>
        <w:jc w:val="both"/>
        <w:rPr>
          <w:rFonts w:asciiTheme="majorBidi" w:eastAsiaTheme="minorHAnsi" w:hAnsiTheme="majorBidi" w:cstheme="majorBidi"/>
          <w:b/>
          <w:bCs/>
          <w:sz w:val="22"/>
          <w:szCs w:val="22"/>
        </w:rPr>
      </w:pPr>
      <w:r w:rsidRPr="00B21EF2">
        <w:rPr>
          <w:rFonts w:asciiTheme="majorBidi" w:eastAsiaTheme="minorHAnsi" w:hAnsiTheme="majorBidi" w:cstheme="majorBidi"/>
          <w:b/>
          <w:bCs/>
          <w:sz w:val="22"/>
          <w:szCs w:val="22"/>
        </w:rPr>
        <w:t>PAPR of CP-OFDM 4x100MHz and PAPR of CP-OFDM 8x50MHz are much greater than PAPR of single CC CP-OFDM 400MHz.</w:t>
      </w:r>
    </w:p>
    <w:p w:rsidR="0022093C" w:rsidRPr="00EB5F8E" w:rsidRDefault="00EB5F8E" w:rsidP="00D142FC">
      <w:pPr>
        <w:jc w:val="both"/>
        <w:rPr>
          <w:rFonts w:asciiTheme="majorBidi" w:hAnsiTheme="majorBidi" w:cstheme="majorBidi"/>
        </w:rPr>
      </w:pPr>
      <w:r w:rsidRPr="00B21EF2">
        <w:rPr>
          <w:rFonts w:asciiTheme="majorBidi" w:hAnsiTheme="majorBidi" w:cstheme="majorBidi"/>
        </w:rPr>
        <w:t xml:space="preserve">From above observations, with different DMRS sequences among CCs, MPR of single CC CP-OFDM 400MHz </w:t>
      </w:r>
      <w:r w:rsidR="00D142FC">
        <w:rPr>
          <w:rFonts w:asciiTheme="majorBidi" w:hAnsiTheme="majorBidi" w:cstheme="majorBidi"/>
        </w:rPr>
        <w:t>could</w:t>
      </w:r>
      <w:bookmarkStart w:id="2" w:name="_GoBack"/>
      <w:bookmarkEnd w:id="2"/>
      <w:r w:rsidRPr="00B21EF2">
        <w:rPr>
          <w:rFonts w:asciiTheme="majorBidi" w:hAnsiTheme="majorBidi" w:cstheme="majorBidi"/>
        </w:rPr>
        <w:t xml:space="preserve"> be reused for CA MPR contiguous allocation with aggregated bandwidth ≤ 400MHz. However, with same DMRS sequence within CCs, MPR of single CC CP-OFDM 400MHz cannot be reused for CA MPR contiguous allocation with aggregated bandwidth ≤ 400MHz aggregated.</w:t>
      </w:r>
      <w:r>
        <w:rPr>
          <w:rFonts w:asciiTheme="majorBidi" w:hAnsiTheme="majorBidi" w:cstheme="majorBidi"/>
        </w:rPr>
        <w:t xml:space="preserve"> </w:t>
      </w:r>
      <w:r w:rsidR="001D05CA">
        <w:rPr>
          <w:rFonts w:asciiTheme="majorBidi" w:hAnsiTheme="majorBidi" w:cstheme="majorBidi"/>
        </w:rPr>
        <w:t>I</w:t>
      </w:r>
      <w:r w:rsidRPr="00EB5F8E">
        <w:rPr>
          <w:rFonts w:asciiTheme="majorBidi" w:hAnsiTheme="majorBidi" w:cstheme="majorBidi"/>
        </w:rPr>
        <w:t xml:space="preserve">f cell IDs </w:t>
      </w:r>
      <m:oMath>
        <m:sSubSup>
          <m:sSubSupPr>
            <m:ctrlPr>
              <w:rPr>
                <w:rFonts w:ascii="Cambria Math" w:eastAsia="Times New Roman" w:hAnsi="Cambria Math" w:cstheme="majorBidi"/>
                <w:i/>
                <w:iCs/>
                <w:color w:val="000000"/>
                <w:kern w:val="24"/>
                <w:sz w:val="26"/>
                <w:szCs w:val="26"/>
              </w:rPr>
            </m:ctrlPr>
          </m:sSubSupPr>
          <m:e>
            <m:r>
              <w:rPr>
                <w:rFonts w:ascii="Cambria Math" w:eastAsia="Times New Roman" w:hAnsi="Cambria Math" w:cstheme="majorBidi"/>
                <w:color w:val="000000"/>
                <w:kern w:val="24"/>
                <w:sz w:val="26"/>
                <w:szCs w:val="26"/>
              </w:rPr>
              <m:t>N</m:t>
            </m:r>
          </m:e>
          <m:sub>
            <m:r>
              <m:rPr>
                <m:nor/>
              </m:rPr>
              <w:rPr>
                <w:rFonts w:asciiTheme="majorBidi" w:eastAsia="Times New Roman" w:hAnsiTheme="majorBidi" w:cstheme="majorBidi"/>
                <w:color w:val="000000"/>
                <w:kern w:val="24"/>
                <w:sz w:val="26"/>
                <w:szCs w:val="26"/>
              </w:rPr>
              <m:t>ID</m:t>
            </m:r>
          </m:sub>
          <m:sup>
            <m:r>
              <m:rPr>
                <m:nor/>
              </m:rPr>
              <w:rPr>
                <w:rFonts w:asciiTheme="majorBidi" w:eastAsia="Times New Roman" w:hAnsiTheme="majorBidi" w:cstheme="majorBidi"/>
                <w:color w:val="000000"/>
                <w:kern w:val="24"/>
                <w:sz w:val="26"/>
                <w:szCs w:val="26"/>
              </w:rPr>
              <m:t>cell</m:t>
            </m:r>
          </m:sup>
        </m:sSubSup>
      </m:oMath>
      <w:r w:rsidRPr="00EB5F8E">
        <w:rPr>
          <w:rFonts w:asciiTheme="majorBidi" w:hAnsiTheme="majorBidi" w:cstheme="majorBidi"/>
        </w:rPr>
        <w:t xml:space="preserve"> are different, it is not guaranteed that DMRS sequence used in CCs are different.</w:t>
      </w:r>
    </w:p>
    <w:p w:rsidR="00FE3586" w:rsidRPr="00146B4F" w:rsidRDefault="00FE3586" w:rsidP="00FE3586">
      <w:pPr>
        <w:pStyle w:val="Heading1"/>
        <w:numPr>
          <w:ilvl w:val="0"/>
          <w:numId w:val="0"/>
        </w:numPr>
        <w:tabs>
          <w:tab w:val="clear" w:pos="567"/>
          <w:tab w:val="left" w:pos="0"/>
        </w:tabs>
      </w:pPr>
      <w:r w:rsidRPr="00146B4F">
        <w:t>References</w:t>
      </w:r>
    </w:p>
    <w:p w:rsidR="00FE3586" w:rsidRPr="0061685E" w:rsidRDefault="00FE3586" w:rsidP="00FE3586">
      <w:pPr>
        <w:widowControl w:val="0"/>
        <w:numPr>
          <w:ilvl w:val="0"/>
          <w:numId w:val="6"/>
        </w:numPr>
        <w:spacing w:before="120" w:after="120"/>
        <w:jc w:val="both"/>
        <w:rPr>
          <w:rFonts w:asciiTheme="majorBidi" w:hAnsiTheme="majorBidi" w:cstheme="majorBidi"/>
        </w:rPr>
      </w:pPr>
      <w:r w:rsidRPr="0061685E">
        <w:rPr>
          <w:rFonts w:asciiTheme="majorBidi" w:hAnsiTheme="majorBidi" w:cstheme="majorBidi"/>
        </w:rPr>
        <w:t>R4-1905688, On FR2 MPR for CA, Qualcomm Incorporated, RAN4#91.</w:t>
      </w:r>
    </w:p>
    <w:p w:rsidR="00FE3586" w:rsidRPr="0061685E" w:rsidRDefault="00274669" w:rsidP="00274669">
      <w:pPr>
        <w:widowControl w:val="0"/>
        <w:numPr>
          <w:ilvl w:val="0"/>
          <w:numId w:val="6"/>
        </w:numPr>
        <w:spacing w:before="120" w:after="120"/>
        <w:jc w:val="both"/>
        <w:rPr>
          <w:rFonts w:asciiTheme="majorBidi" w:hAnsiTheme="majorBidi" w:cstheme="majorBidi"/>
        </w:rPr>
      </w:pPr>
      <w:r w:rsidRPr="0061685E">
        <w:rPr>
          <w:rFonts w:asciiTheme="majorBidi" w:hAnsiTheme="majorBidi" w:cstheme="majorBidi"/>
        </w:rPr>
        <w:t>R4-1906227</w:t>
      </w:r>
      <w:r w:rsidR="00FE3586" w:rsidRPr="0061685E">
        <w:rPr>
          <w:rFonts w:asciiTheme="majorBidi" w:hAnsiTheme="majorBidi" w:cstheme="majorBidi"/>
        </w:rPr>
        <w:t xml:space="preserve">, </w:t>
      </w:r>
      <w:r w:rsidRPr="0061685E">
        <w:rPr>
          <w:rFonts w:asciiTheme="majorBidi" w:hAnsiTheme="majorBidi" w:cstheme="majorBidi"/>
        </w:rPr>
        <w:t>Draft CR for modification on MPR CA in FR2 for TS 38.101-2</w:t>
      </w:r>
      <w:r w:rsidR="00FE3586" w:rsidRPr="0061685E">
        <w:rPr>
          <w:rFonts w:asciiTheme="majorBidi" w:hAnsiTheme="majorBidi" w:cstheme="majorBidi"/>
        </w:rPr>
        <w:t xml:space="preserve">, </w:t>
      </w:r>
      <w:r w:rsidRPr="0061685E">
        <w:rPr>
          <w:rFonts w:asciiTheme="majorBidi" w:hAnsiTheme="majorBidi" w:cstheme="majorBidi"/>
        </w:rPr>
        <w:t>NTT DOCOMO, INC.</w:t>
      </w:r>
      <w:r w:rsidR="00FE3586" w:rsidRPr="0061685E">
        <w:rPr>
          <w:rFonts w:asciiTheme="majorBidi" w:hAnsiTheme="majorBidi" w:cstheme="majorBidi"/>
        </w:rPr>
        <w:t>, RAN4#</w:t>
      </w:r>
      <w:r w:rsidRPr="0061685E">
        <w:rPr>
          <w:rFonts w:asciiTheme="majorBidi" w:hAnsiTheme="majorBidi" w:cstheme="majorBidi"/>
        </w:rPr>
        <w:t>91</w:t>
      </w:r>
      <w:r w:rsidR="00FE3586" w:rsidRPr="0061685E">
        <w:rPr>
          <w:rFonts w:asciiTheme="majorBidi" w:hAnsiTheme="majorBidi" w:cstheme="majorBidi"/>
        </w:rPr>
        <w:t>.</w:t>
      </w:r>
    </w:p>
    <w:p w:rsidR="00FE3586" w:rsidRDefault="00FE3586" w:rsidP="0022093C">
      <w:pPr>
        <w:jc w:val="both"/>
      </w:pPr>
    </w:p>
    <w:sectPr w:rsidR="00FE3586" w:rsidSect="00B21EF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9BC47D3"/>
    <w:multiLevelType w:val="hybridMultilevel"/>
    <w:tmpl w:val="4D6C75DE"/>
    <w:lvl w:ilvl="0" w:tplc="2758BBF8">
      <w:start w:val="1"/>
      <w:numFmt w:val="bullet"/>
      <w:lvlText w:val="•"/>
      <w:lvlJc w:val="left"/>
      <w:pPr>
        <w:tabs>
          <w:tab w:val="num" w:pos="360"/>
        </w:tabs>
        <w:ind w:left="360" w:hanging="360"/>
      </w:pPr>
      <w:rPr>
        <w:rFonts w:ascii="Arial" w:hAnsi="Arial" w:hint="default"/>
      </w:rPr>
    </w:lvl>
    <w:lvl w:ilvl="1" w:tplc="B64AC936">
      <w:start w:val="27"/>
      <w:numFmt w:val="bullet"/>
      <w:lvlText w:val="•"/>
      <w:lvlJc w:val="left"/>
      <w:pPr>
        <w:tabs>
          <w:tab w:val="num" w:pos="1080"/>
        </w:tabs>
        <w:ind w:left="1080" w:hanging="360"/>
      </w:pPr>
      <w:rPr>
        <w:rFonts w:ascii="Arial" w:hAnsi="Arial" w:hint="default"/>
      </w:rPr>
    </w:lvl>
    <w:lvl w:ilvl="2" w:tplc="D9A65C68" w:tentative="1">
      <w:start w:val="1"/>
      <w:numFmt w:val="bullet"/>
      <w:lvlText w:val="•"/>
      <w:lvlJc w:val="left"/>
      <w:pPr>
        <w:tabs>
          <w:tab w:val="num" w:pos="1800"/>
        </w:tabs>
        <w:ind w:left="1800" w:hanging="360"/>
      </w:pPr>
      <w:rPr>
        <w:rFonts w:ascii="Arial" w:hAnsi="Arial" w:hint="default"/>
      </w:rPr>
    </w:lvl>
    <w:lvl w:ilvl="3" w:tplc="6A30147E" w:tentative="1">
      <w:start w:val="1"/>
      <w:numFmt w:val="bullet"/>
      <w:lvlText w:val="•"/>
      <w:lvlJc w:val="left"/>
      <w:pPr>
        <w:tabs>
          <w:tab w:val="num" w:pos="2520"/>
        </w:tabs>
        <w:ind w:left="2520" w:hanging="360"/>
      </w:pPr>
      <w:rPr>
        <w:rFonts w:ascii="Arial" w:hAnsi="Arial" w:hint="default"/>
      </w:rPr>
    </w:lvl>
    <w:lvl w:ilvl="4" w:tplc="A5BA578C" w:tentative="1">
      <w:start w:val="1"/>
      <w:numFmt w:val="bullet"/>
      <w:lvlText w:val="•"/>
      <w:lvlJc w:val="left"/>
      <w:pPr>
        <w:tabs>
          <w:tab w:val="num" w:pos="3240"/>
        </w:tabs>
        <w:ind w:left="3240" w:hanging="360"/>
      </w:pPr>
      <w:rPr>
        <w:rFonts w:ascii="Arial" w:hAnsi="Arial" w:hint="default"/>
      </w:rPr>
    </w:lvl>
    <w:lvl w:ilvl="5" w:tplc="026AE680" w:tentative="1">
      <w:start w:val="1"/>
      <w:numFmt w:val="bullet"/>
      <w:lvlText w:val="•"/>
      <w:lvlJc w:val="left"/>
      <w:pPr>
        <w:tabs>
          <w:tab w:val="num" w:pos="3960"/>
        </w:tabs>
        <w:ind w:left="3960" w:hanging="360"/>
      </w:pPr>
      <w:rPr>
        <w:rFonts w:ascii="Arial" w:hAnsi="Arial" w:hint="default"/>
      </w:rPr>
    </w:lvl>
    <w:lvl w:ilvl="6" w:tplc="63FC2E42" w:tentative="1">
      <w:start w:val="1"/>
      <w:numFmt w:val="bullet"/>
      <w:lvlText w:val="•"/>
      <w:lvlJc w:val="left"/>
      <w:pPr>
        <w:tabs>
          <w:tab w:val="num" w:pos="4680"/>
        </w:tabs>
        <w:ind w:left="4680" w:hanging="360"/>
      </w:pPr>
      <w:rPr>
        <w:rFonts w:ascii="Arial" w:hAnsi="Arial" w:hint="default"/>
      </w:rPr>
    </w:lvl>
    <w:lvl w:ilvl="7" w:tplc="287800B0" w:tentative="1">
      <w:start w:val="1"/>
      <w:numFmt w:val="bullet"/>
      <w:lvlText w:val="•"/>
      <w:lvlJc w:val="left"/>
      <w:pPr>
        <w:tabs>
          <w:tab w:val="num" w:pos="5400"/>
        </w:tabs>
        <w:ind w:left="5400" w:hanging="360"/>
      </w:pPr>
      <w:rPr>
        <w:rFonts w:ascii="Arial" w:hAnsi="Arial" w:hint="default"/>
      </w:rPr>
    </w:lvl>
    <w:lvl w:ilvl="8" w:tplc="A7AAC22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4ACC49B9"/>
    <w:multiLevelType w:val="hybridMultilevel"/>
    <w:tmpl w:val="57EC71EA"/>
    <w:lvl w:ilvl="0" w:tplc="DB60718C">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F023DC2"/>
    <w:multiLevelType w:val="hybridMultilevel"/>
    <w:tmpl w:val="04883F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751"/>
    <w:rsid w:val="00016F88"/>
    <w:rsid w:val="000225EA"/>
    <w:rsid w:val="000457D5"/>
    <w:rsid w:val="00066A83"/>
    <w:rsid w:val="00073178"/>
    <w:rsid w:val="000A152B"/>
    <w:rsid w:val="000C407B"/>
    <w:rsid w:val="001D05CA"/>
    <w:rsid w:val="0022093C"/>
    <w:rsid w:val="00234397"/>
    <w:rsid w:val="00274669"/>
    <w:rsid w:val="002A0B81"/>
    <w:rsid w:val="003428C4"/>
    <w:rsid w:val="004840B7"/>
    <w:rsid w:val="004A7EE5"/>
    <w:rsid w:val="00535A42"/>
    <w:rsid w:val="00573428"/>
    <w:rsid w:val="00587524"/>
    <w:rsid w:val="005A143D"/>
    <w:rsid w:val="0061685E"/>
    <w:rsid w:val="0071343F"/>
    <w:rsid w:val="00716744"/>
    <w:rsid w:val="00895A43"/>
    <w:rsid w:val="008D2AEA"/>
    <w:rsid w:val="008D7698"/>
    <w:rsid w:val="009542B8"/>
    <w:rsid w:val="00982801"/>
    <w:rsid w:val="009B00D2"/>
    <w:rsid w:val="009C6D66"/>
    <w:rsid w:val="009F33B2"/>
    <w:rsid w:val="00A003A7"/>
    <w:rsid w:val="00A431E1"/>
    <w:rsid w:val="00A92A15"/>
    <w:rsid w:val="00AA097A"/>
    <w:rsid w:val="00AC6E53"/>
    <w:rsid w:val="00B21EF2"/>
    <w:rsid w:val="00B56349"/>
    <w:rsid w:val="00BA7A11"/>
    <w:rsid w:val="00BB5022"/>
    <w:rsid w:val="00C33D34"/>
    <w:rsid w:val="00C86FE1"/>
    <w:rsid w:val="00CA2413"/>
    <w:rsid w:val="00CA5AD9"/>
    <w:rsid w:val="00CA7658"/>
    <w:rsid w:val="00CE6F54"/>
    <w:rsid w:val="00CF3204"/>
    <w:rsid w:val="00CF58D3"/>
    <w:rsid w:val="00D142FC"/>
    <w:rsid w:val="00D70751"/>
    <w:rsid w:val="00DB64D5"/>
    <w:rsid w:val="00DD3D41"/>
    <w:rsid w:val="00E46C21"/>
    <w:rsid w:val="00E7458C"/>
    <w:rsid w:val="00EB5F8E"/>
    <w:rsid w:val="00F961F6"/>
    <w:rsid w:val="00FE3586"/>
    <w:rsid w:val="00FF5D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385976-4AC2-4C0A-8B05-45E03E4F0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93C"/>
    <w:pPr>
      <w:spacing w:after="0" w:line="240" w:lineRule="auto"/>
    </w:pPr>
    <w:rPr>
      <w:rFonts w:ascii="Calibri" w:hAnsi="Calibri" w:cs="Calibri"/>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BB5022"/>
    <w:pPr>
      <w:keepNext/>
      <w:keepLines/>
      <w:numPr>
        <w:numId w:val="1"/>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B502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BB502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BB502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BB5022"/>
    <w:pPr>
      <w:numPr>
        <w:ilvl w:val="4"/>
      </w:numPr>
      <w:tabs>
        <w:tab w:val="num" w:pos="360"/>
      </w:tabs>
      <w:outlineLvl w:val="4"/>
    </w:pPr>
    <w:rPr>
      <w:sz w:val="22"/>
    </w:rPr>
  </w:style>
  <w:style w:type="paragraph" w:styleId="Heading6">
    <w:name w:val="heading 6"/>
    <w:aliases w:val="T1,Header 6"/>
    <w:basedOn w:val="H6"/>
    <w:next w:val="Normal"/>
    <w:link w:val="Heading6Char"/>
    <w:qFormat/>
    <w:rsid w:val="00BB5022"/>
    <w:pPr>
      <w:keepLines/>
      <w:numPr>
        <w:ilvl w:val="5"/>
        <w:numId w:val="1"/>
      </w:numPr>
      <w:tabs>
        <w:tab w:val="left" w:pos="567"/>
      </w:tabs>
      <w:overflowPunct w:val="0"/>
      <w:autoSpaceDE w:val="0"/>
      <w:autoSpaceDN w:val="0"/>
      <w:adjustRightInd w:val="0"/>
      <w:spacing w:before="300"/>
      <w:jc w:val="both"/>
      <w:textAlignment w:val="baseline"/>
      <w:outlineLvl w:val="5"/>
    </w:pPr>
    <w:rPr>
      <w:rFonts w:eastAsia="Times New Roman" w:cs="Times New Roman"/>
      <w:lang w:eastAsia="ja-JP" w:bidi="hi-IN"/>
    </w:rPr>
  </w:style>
  <w:style w:type="paragraph" w:styleId="Heading7">
    <w:name w:val="heading 7"/>
    <w:basedOn w:val="H6"/>
    <w:next w:val="Normal"/>
    <w:link w:val="Heading7Char"/>
    <w:qFormat/>
    <w:rsid w:val="00BB5022"/>
    <w:pPr>
      <w:keepLines/>
      <w:numPr>
        <w:ilvl w:val="6"/>
        <w:numId w:val="1"/>
      </w:numPr>
      <w:tabs>
        <w:tab w:val="left" w:pos="567"/>
      </w:tabs>
      <w:overflowPunct w:val="0"/>
      <w:autoSpaceDE w:val="0"/>
      <w:autoSpaceDN w:val="0"/>
      <w:adjustRightInd w:val="0"/>
      <w:spacing w:before="300"/>
      <w:jc w:val="both"/>
      <w:textAlignment w:val="baseline"/>
      <w:outlineLvl w:val="6"/>
    </w:pPr>
    <w:rPr>
      <w:rFonts w:eastAsia="Times New Roman" w:cs="Times New Roman"/>
      <w:lang w:eastAsia="ja-JP" w:bidi="hi-IN"/>
    </w:rPr>
  </w:style>
  <w:style w:type="paragraph" w:styleId="Heading8">
    <w:name w:val="heading 8"/>
    <w:basedOn w:val="Heading1"/>
    <w:next w:val="Normal"/>
    <w:link w:val="Heading8Char"/>
    <w:qFormat/>
    <w:rsid w:val="00BB5022"/>
    <w:pPr>
      <w:numPr>
        <w:ilvl w:val="7"/>
      </w:numPr>
      <w:tabs>
        <w:tab w:val="num" w:pos="360"/>
      </w:tabs>
      <w:outlineLvl w:val="7"/>
    </w:pPr>
  </w:style>
  <w:style w:type="paragraph" w:styleId="Heading9">
    <w:name w:val="heading 9"/>
    <w:basedOn w:val="Heading8"/>
    <w:next w:val="Normal"/>
    <w:link w:val="Heading9Char"/>
    <w:qFormat/>
    <w:rsid w:val="00BB502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Normal"/>
    <w:rsid w:val="00D70751"/>
    <w:pPr>
      <w:keepNext/>
      <w:spacing w:before="120" w:after="180"/>
      <w:ind w:left="1985" w:hanging="1985"/>
    </w:pPr>
    <w:rPr>
      <w:rFonts w:ascii="Arial" w:hAnsi="Arial" w:cs="Arial"/>
      <w:sz w:val="20"/>
      <w:szCs w:val="20"/>
    </w:rPr>
  </w:style>
  <w:style w:type="paragraph" w:customStyle="1" w:styleId="EQ">
    <w:name w:val="EQ"/>
    <w:basedOn w:val="Normal"/>
    <w:uiPriority w:val="99"/>
    <w:rsid w:val="00D70751"/>
    <w:pPr>
      <w:spacing w:after="180"/>
    </w:pPr>
    <w:rPr>
      <w:rFonts w:ascii="Times New Roman" w:hAnsi="Times New Roman" w:cs="Times New Roman"/>
      <w:sz w:val="20"/>
      <w:szCs w:val="20"/>
    </w:rPr>
  </w:style>
  <w:style w:type="character" w:customStyle="1" w:styleId="B1">
    <w:name w:val="B1 (文字)"/>
    <w:basedOn w:val="DefaultParagraphFont"/>
    <w:link w:val="B10"/>
    <w:uiPriority w:val="99"/>
    <w:locked/>
    <w:rsid w:val="00D70751"/>
  </w:style>
  <w:style w:type="paragraph" w:customStyle="1" w:styleId="B10">
    <w:name w:val="B1"/>
    <w:basedOn w:val="Normal"/>
    <w:link w:val="B1"/>
    <w:uiPriority w:val="99"/>
    <w:rsid w:val="00D70751"/>
    <w:pPr>
      <w:spacing w:after="180"/>
      <w:ind w:left="568" w:hanging="284"/>
    </w:pPr>
    <w:rPr>
      <w:rFonts w:asciiTheme="minorHAnsi" w:hAnsiTheme="minorHAnsi" w:cstheme="minorBidi"/>
    </w:rPr>
  </w:style>
  <w:style w:type="character" w:customStyle="1" w:styleId="Heading1Char">
    <w:name w:val="Heading 1 Char"/>
    <w:basedOn w:val="DefaultParagraphFont"/>
    <w:uiPriority w:val="9"/>
    <w:rsid w:val="00BB5022"/>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B502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B5022"/>
    <w:rPr>
      <w:rFonts w:ascii="Arial" w:eastAsia="Times New Roman" w:hAnsi="Arial" w:cs="Times New Roman"/>
      <w:szCs w:val="20"/>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B5022"/>
    <w:rPr>
      <w:rFonts w:ascii="Arial" w:eastAsia="Times New Roman" w:hAnsi="Arial" w:cs="Times New Roman"/>
      <w:sz w:val="24"/>
      <w:szCs w:val="20"/>
      <w:lang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BB5022"/>
    <w:rPr>
      <w:rFonts w:ascii="Arial" w:eastAsia="Times New Roman" w:hAnsi="Arial" w:cs="Times New Roman"/>
      <w:szCs w:val="20"/>
      <w:lang w:eastAsia="ja-JP" w:bidi="hi-IN"/>
    </w:rPr>
  </w:style>
  <w:style w:type="character" w:customStyle="1" w:styleId="Heading6Char">
    <w:name w:val="Heading 6 Char"/>
    <w:aliases w:val="T1 Char,Header 6 Char"/>
    <w:basedOn w:val="DefaultParagraphFont"/>
    <w:link w:val="Heading6"/>
    <w:rsid w:val="00BB5022"/>
    <w:rPr>
      <w:rFonts w:ascii="Arial" w:eastAsia="Times New Roman" w:hAnsi="Arial" w:cs="Times New Roman"/>
      <w:sz w:val="20"/>
      <w:szCs w:val="20"/>
      <w:lang w:eastAsia="ja-JP" w:bidi="hi-IN"/>
    </w:rPr>
  </w:style>
  <w:style w:type="character" w:customStyle="1" w:styleId="Heading7Char">
    <w:name w:val="Heading 7 Char"/>
    <w:basedOn w:val="DefaultParagraphFont"/>
    <w:link w:val="Heading7"/>
    <w:rsid w:val="00BB5022"/>
    <w:rPr>
      <w:rFonts w:ascii="Arial" w:eastAsia="Times New Roman" w:hAnsi="Arial" w:cs="Times New Roman"/>
      <w:sz w:val="20"/>
      <w:szCs w:val="20"/>
      <w:lang w:eastAsia="ja-JP" w:bidi="hi-IN"/>
    </w:rPr>
  </w:style>
  <w:style w:type="character" w:customStyle="1" w:styleId="Heading8Char">
    <w:name w:val="Heading 8 Char"/>
    <w:basedOn w:val="DefaultParagraphFont"/>
    <w:link w:val="Heading8"/>
    <w:rsid w:val="00BB5022"/>
    <w:rPr>
      <w:rFonts w:ascii="Arial" w:eastAsia="SimSun" w:hAnsi="Arial" w:cs="Times New Roman"/>
      <w:sz w:val="36"/>
      <w:szCs w:val="20"/>
      <w:lang w:val="en-GB"/>
    </w:rPr>
  </w:style>
  <w:style w:type="character" w:customStyle="1" w:styleId="Heading9Char">
    <w:name w:val="Heading 9 Char"/>
    <w:basedOn w:val="DefaultParagraphFont"/>
    <w:link w:val="Heading9"/>
    <w:rsid w:val="00BB502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502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5022"/>
    <w:rPr>
      <w:rFonts w:ascii="Arial" w:eastAsia="SimSun" w:hAnsi="Arial" w:cs="Times New Roman"/>
      <w:b/>
      <w:noProof/>
      <w:sz w:val="18"/>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BB5022"/>
    <w:rPr>
      <w:rFonts w:ascii="Arial" w:eastAsia="SimSun" w:hAnsi="Arial" w:cs="Times New Roman"/>
      <w:sz w:val="36"/>
      <w:szCs w:val="20"/>
      <w:lang w:val="en-GB"/>
    </w:rPr>
  </w:style>
  <w:style w:type="character" w:styleId="Hyperlink">
    <w:name w:val="Hyperlink"/>
    <w:rsid w:val="00BB5022"/>
    <w:rPr>
      <w:color w:val="0000FF"/>
      <w:u w:val="single"/>
    </w:rPr>
  </w:style>
  <w:style w:type="table" w:styleId="TableGrid">
    <w:name w:val="Table Grid"/>
    <w:basedOn w:val="TableNormal"/>
    <w:uiPriority w:val="39"/>
    <w:rsid w:val="00BB5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3178"/>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5A143D"/>
    <w:pPr>
      <w:ind w:left="720"/>
      <w:contextualSpacing/>
    </w:pPr>
    <w:rPr>
      <w:rFonts w:ascii="Times New Roman" w:eastAsia="Times New Roman" w:hAnsi="Times New Roman" w:cs="Times New Roman"/>
      <w:sz w:val="24"/>
      <w:szCs w:val="24"/>
    </w:rPr>
  </w:style>
  <w:style w:type="paragraph" w:customStyle="1" w:styleId="Bulletedo1">
    <w:name w:val="Bulleted o 1"/>
    <w:basedOn w:val="Normal"/>
    <w:rsid w:val="0022093C"/>
    <w:pPr>
      <w:numPr>
        <w:numId w:val="5"/>
      </w:numPr>
      <w:overflowPunct w:val="0"/>
      <w:autoSpaceDE w:val="0"/>
      <w:autoSpaceDN w:val="0"/>
      <w:adjustRightInd w:val="0"/>
      <w:spacing w:before="120" w:after="120"/>
      <w:textAlignment w:val="baseline"/>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105565">
      <w:bodyDiv w:val="1"/>
      <w:marLeft w:val="0"/>
      <w:marRight w:val="0"/>
      <w:marTop w:val="0"/>
      <w:marBottom w:val="0"/>
      <w:divBdr>
        <w:top w:val="none" w:sz="0" w:space="0" w:color="auto"/>
        <w:left w:val="none" w:sz="0" w:space="0" w:color="auto"/>
        <w:bottom w:val="none" w:sz="0" w:space="0" w:color="auto"/>
        <w:right w:val="none" w:sz="0" w:space="0" w:color="auto"/>
      </w:divBdr>
    </w:div>
    <w:div w:id="334497182">
      <w:bodyDiv w:val="1"/>
      <w:marLeft w:val="0"/>
      <w:marRight w:val="0"/>
      <w:marTop w:val="0"/>
      <w:marBottom w:val="0"/>
      <w:divBdr>
        <w:top w:val="none" w:sz="0" w:space="0" w:color="auto"/>
        <w:left w:val="none" w:sz="0" w:space="0" w:color="auto"/>
        <w:bottom w:val="none" w:sz="0" w:space="0" w:color="auto"/>
        <w:right w:val="none" w:sz="0" w:space="0" w:color="auto"/>
      </w:divBdr>
      <w:divsChild>
        <w:div w:id="2019113144">
          <w:marLeft w:val="547"/>
          <w:marRight w:val="0"/>
          <w:marTop w:val="0"/>
          <w:marBottom w:val="0"/>
          <w:divBdr>
            <w:top w:val="none" w:sz="0" w:space="0" w:color="auto"/>
            <w:left w:val="none" w:sz="0" w:space="0" w:color="auto"/>
            <w:bottom w:val="none" w:sz="0" w:space="0" w:color="auto"/>
            <w:right w:val="none" w:sz="0" w:space="0" w:color="auto"/>
          </w:divBdr>
        </w:div>
        <w:div w:id="297565908">
          <w:marLeft w:val="1267"/>
          <w:marRight w:val="0"/>
          <w:marTop w:val="0"/>
          <w:marBottom w:val="0"/>
          <w:divBdr>
            <w:top w:val="none" w:sz="0" w:space="0" w:color="auto"/>
            <w:left w:val="none" w:sz="0" w:space="0" w:color="auto"/>
            <w:bottom w:val="none" w:sz="0" w:space="0" w:color="auto"/>
            <w:right w:val="none" w:sz="0" w:space="0" w:color="auto"/>
          </w:divBdr>
        </w:div>
        <w:div w:id="1993480075">
          <w:marLeft w:val="1267"/>
          <w:marRight w:val="0"/>
          <w:marTop w:val="0"/>
          <w:marBottom w:val="0"/>
          <w:divBdr>
            <w:top w:val="none" w:sz="0" w:space="0" w:color="auto"/>
            <w:left w:val="none" w:sz="0" w:space="0" w:color="auto"/>
            <w:bottom w:val="none" w:sz="0" w:space="0" w:color="auto"/>
            <w:right w:val="none" w:sz="0" w:space="0" w:color="auto"/>
          </w:divBdr>
        </w:div>
        <w:div w:id="894047701">
          <w:marLeft w:val="1267"/>
          <w:marRight w:val="0"/>
          <w:marTop w:val="0"/>
          <w:marBottom w:val="0"/>
          <w:divBdr>
            <w:top w:val="none" w:sz="0" w:space="0" w:color="auto"/>
            <w:left w:val="none" w:sz="0" w:space="0" w:color="auto"/>
            <w:bottom w:val="none" w:sz="0" w:space="0" w:color="auto"/>
            <w:right w:val="none" w:sz="0" w:space="0" w:color="auto"/>
          </w:divBdr>
        </w:div>
      </w:divsChild>
    </w:div>
    <w:div w:id="931888129">
      <w:bodyDiv w:val="1"/>
      <w:marLeft w:val="0"/>
      <w:marRight w:val="0"/>
      <w:marTop w:val="0"/>
      <w:marBottom w:val="0"/>
      <w:divBdr>
        <w:top w:val="none" w:sz="0" w:space="0" w:color="auto"/>
        <w:left w:val="none" w:sz="0" w:space="0" w:color="auto"/>
        <w:bottom w:val="none" w:sz="0" w:space="0" w:color="auto"/>
        <w:right w:val="none" w:sz="0" w:space="0" w:color="auto"/>
      </w:divBdr>
    </w:div>
    <w:div w:id="979069281">
      <w:bodyDiv w:val="1"/>
      <w:marLeft w:val="0"/>
      <w:marRight w:val="0"/>
      <w:marTop w:val="0"/>
      <w:marBottom w:val="0"/>
      <w:divBdr>
        <w:top w:val="none" w:sz="0" w:space="0" w:color="auto"/>
        <w:left w:val="none" w:sz="0" w:space="0" w:color="auto"/>
        <w:bottom w:val="none" w:sz="0" w:space="0" w:color="auto"/>
        <w:right w:val="none" w:sz="0" w:space="0" w:color="auto"/>
      </w:divBdr>
    </w:div>
    <w:div w:id="1131173392">
      <w:bodyDiv w:val="1"/>
      <w:marLeft w:val="0"/>
      <w:marRight w:val="0"/>
      <w:marTop w:val="0"/>
      <w:marBottom w:val="0"/>
      <w:divBdr>
        <w:top w:val="none" w:sz="0" w:space="0" w:color="auto"/>
        <w:left w:val="none" w:sz="0" w:space="0" w:color="auto"/>
        <w:bottom w:val="none" w:sz="0" w:space="0" w:color="auto"/>
        <w:right w:val="none" w:sz="0" w:space="0" w:color="auto"/>
      </w:divBdr>
    </w:div>
    <w:div w:id="1374312143">
      <w:bodyDiv w:val="1"/>
      <w:marLeft w:val="0"/>
      <w:marRight w:val="0"/>
      <w:marTop w:val="0"/>
      <w:marBottom w:val="0"/>
      <w:divBdr>
        <w:top w:val="none" w:sz="0" w:space="0" w:color="auto"/>
        <w:left w:val="none" w:sz="0" w:space="0" w:color="auto"/>
        <w:bottom w:val="none" w:sz="0" w:space="0" w:color="auto"/>
        <w:right w:val="none" w:sz="0" w:space="0" w:color="auto"/>
      </w:divBdr>
      <w:divsChild>
        <w:div w:id="688260374">
          <w:marLeft w:val="1267"/>
          <w:marRight w:val="0"/>
          <w:marTop w:val="0"/>
          <w:marBottom w:val="0"/>
          <w:divBdr>
            <w:top w:val="none" w:sz="0" w:space="0" w:color="auto"/>
            <w:left w:val="none" w:sz="0" w:space="0" w:color="auto"/>
            <w:bottom w:val="none" w:sz="0" w:space="0" w:color="auto"/>
            <w:right w:val="none" w:sz="0" w:space="0" w:color="auto"/>
          </w:divBdr>
        </w:div>
        <w:div w:id="1558007075">
          <w:marLeft w:val="1267"/>
          <w:marRight w:val="0"/>
          <w:marTop w:val="0"/>
          <w:marBottom w:val="0"/>
          <w:divBdr>
            <w:top w:val="none" w:sz="0" w:space="0" w:color="auto"/>
            <w:left w:val="none" w:sz="0" w:space="0" w:color="auto"/>
            <w:bottom w:val="none" w:sz="0" w:space="0" w:color="auto"/>
            <w:right w:val="none" w:sz="0" w:space="0" w:color="auto"/>
          </w:divBdr>
        </w:div>
      </w:divsChild>
    </w:div>
    <w:div w:id="1804888581">
      <w:bodyDiv w:val="1"/>
      <w:marLeft w:val="0"/>
      <w:marRight w:val="0"/>
      <w:marTop w:val="0"/>
      <w:marBottom w:val="0"/>
      <w:divBdr>
        <w:top w:val="none" w:sz="0" w:space="0" w:color="auto"/>
        <w:left w:val="none" w:sz="0" w:space="0" w:color="auto"/>
        <w:bottom w:val="none" w:sz="0" w:space="0" w:color="auto"/>
        <w:right w:val="none" w:sz="0" w:space="0" w:color="auto"/>
      </w:divBdr>
      <w:divsChild>
        <w:div w:id="165047511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1/Docs/R4-1906227.zip" TargetMode="External"/><Relationship Id="rId13" Type="http://schemas.openxmlformats.org/officeDocument/2006/relationships/image" Target="media/image3.png"/><Relationship Id="rId18" Type="http://schemas.openxmlformats.org/officeDocument/2006/relationships/image" Target="cid:image056.png@01D52AA9.E603B560" TargetMode="External"/><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hyperlink" Target="http://www.3gpp.org/ftp/TSG_RAN/WG4_Radio/TSGR4_91/Docs/R4-1905688.zip" TargetMode="External"/><Relationship Id="rId12" Type="http://schemas.openxmlformats.org/officeDocument/2006/relationships/image" Target="cid:image052.png@01D52AA9.E603B560" TargetMode="External"/><Relationship Id="rId17" Type="http://schemas.openxmlformats.org/officeDocument/2006/relationships/image" Target="media/image5.png"/><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cid:image055.png@01D52AA9.E603B560" TargetMode="External"/><Relationship Id="rId20" Type="http://schemas.openxmlformats.org/officeDocument/2006/relationships/image" Target="cid:image057.png@01D52AA9.E603B560" TargetMode="External"/><Relationship Id="rId1" Type="http://schemas.openxmlformats.org/officeDocument/2006/relationships/numbering" Target="numbering.xml"/><Relationship Id="rId6" Type="http://schemas.openxmlformats.org/officeDocument/2006/relationships/hyperlink" Target="http://www.3gpp.org/ftp/TSG_RAN/WG4_Radio/TSGR4_91/Docs/R4-1906227.zip" TargetMode="External"/><Relationship Id="rId11" Type="http://schemas.openxmlformats.org/officeDocument/2006/relationships/image" Target="media/image2.png"/><Relationship Id="rId24" Type="http://schemas.openxmlformats.org/officeDocument/2006/relationships/image" Target="media/image10.wmf"/><Relationship Id="rId5" Type="http://schemas.openxmlformats.org/officeDocument/2006/relationships/hyperlink" Target="http://www.3gpp.org/ftp/TSG_RAN/WG4_Radio/TSGR4_91/Docs/R4-1905688.zip" TargetMode="Externa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cid:image051.png@01D52AA9.E603B560"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cid:image054.png@01D52AA9.E603B560" TargetMode="External"/><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1247</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Ramadan, Yahia</dc:creator>
  <cp:keywords/>
  <dc:description/>
  <cp:lastModifiedBy>Ramadan, Yahia</cp:lastModifiedBy>
  <cp:revision>19</cp:revision>
  <dcterms:created xsi:type="dcterms:W3CDTF">2019-08-08T19:01:00Z</dcterms:created>
  <dcterms:modified xsi:type="dcterms:W3CDTF">2019-08-16T07:22:00Z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b6a1faa7-bb8e-46c9-b569-1b9db56be819</vt:lpwstr>
  </property>
</Properties>
</file>